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宋体" w:hAnsi="宋体" w:eastAsia="宋体"/>
          <w:b/>
          <w:color w:val="000000"/>
          <w:sz w:val="72"/>
          <w:szCs w:val="72"/>
          <w:highlight w:val="none"/>
          <w:lang w:val="en-US" w:eastAsia="zh-CN"/>
        </w:rPr>
      </w:pPr>
      <w:r>
        <w:rPr>
          <w:rFonts w:hint="eastAsia" w:ascii="宋体" w:hAnsi="宋体"/>
          <w:b/>
          <w:color w:val="000000"/>
          <w:sz w:val="72"/>
          <w:szCs w:val="72"/>
          <w:highlight w:val="none"/>
          <w:lang w:val="en-US" w:eastAsia="zh-CN"/>
        </w:rPr>
        <w:t xml:space="preserve">   </w:t>
      </w:r>
      <w:r/>
    </w:p>
    <w:p>
      <w:pPr>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苏州市政府采购</w:t>
      </w:r>
      <w:r/>
    </w:p>
    <w:p>
      <w:pPr>
        <w:jc w:val="center"/>
        <w:rPr>
          <w:rFonts w:hint="eastAsia" w:ascii="宋体" w:hAnsi="宋体"/>
          <w:color w:val="000000"/>
          <w:sz w:val="84"/>
          <w:szCs w:val="84"/>
          <w:highlight w:val="none"/>
        </w:rPr>
      </w:pPr>
      <w:r>
        <w:rPr>
          <w:rFonts w:hint="eastAsia" w:ascii="宋体" w:hAnsi="宋体"/>
          <w:b/>
          <w:color w:val="000000"/>
          <w:sz w:val="72"/>
          <w:szCs w:val="72"/>
          <w:highlight w:val="none"/>
        </w:rPr>
        <w:t xml:space="preserve">竞争性磋商采购文件</w:t>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bookmarkStart w:id="141" w:name="_GoBack"/>
      <w:r/>
      <w:bookmarkEnd w:id="141"/>
      <w:r/>
      <w:r/>
    </w:p>
    <w:p>
      <w:pPr>
        <w:pStyle w:val="900"/>
        <w:rPr>
          <w:rFonts w:hint="eastAsia"/>
        </w:rPr>
      </w:pPr>
      <w:r>
        <w:rPr>
          <w:rFonts w:hint="eastAsia"/>
        </w:rPr>
      </w:r>
      <w:r/>
    </w:p>
    <w:p>
      <w:pPr>
        <w:rPr>
          <w:rFonts w:hint="eastAsia" w:ascii="宋体" w:hAnsi="宋体"/>
          <w:bCs/>
          <w:color w:val="000000"/>
          <w:highlight w:val="none"/>
        </w:rPr>
      </w:pPr>
      <w:r>
        <w:rPr>
          <w:rFonts w:hint="eastAsia" w:ascii="宋体" w:hAnsi="宋体"/>
          <w:bCs/>
          <w:color w:val="000000"/>
          <w:highlight w:val="none"/>
        </w:rPr>
      </w:r>
      <w:r/>
    </w:p>
    <w:p>
      <w:pPr>
        <w:ind w:right="0" w:firstLine="1807"/>
        <w:keepLines w:val="0"/>
        <w:keepNext w:val="0"/>
        <w:pageBreakBefore w:val="0"/>
        <w:spacing w:line="480" w:lineRule="auto"/>
        <w:widowControl w:val="off"/>
        <w:rPr>
          <w:rFonts w:hint="eastAsia" w:ascii="宋体" w:hAnsi="宋体"/>
          <w:bCs/>
          <w:color w:val="auto"/>
          <w:sz w:val="30"/>
          <w:highlight w:val="none"/>
        </w:rPr>
      </w:pPr>
      <w:r>
        <w:rPr>
          <w:rFonts w:hint="eastAsia" w:ascii="宋体" w:hAnsi="宋体"/>
          <w:b/>
          <w:color w:val="000000"/>
          <w:sz w:val="30"/>
          <w:highlight w:val="none"/>
        </w:rPr>
        <w:t xml:space="preserve">采购编号：</w:t>
      </w:r>
      <w:r>
        <w:rPr>
          <w:rFonts w:hint="eastAsia" w:ascii="宋体" w:hAnsi="宋体"/>
          <w:bCs/>
          <w:color w:val="auto"/>
          <w:sz w:val="30"/>
          <w:highlight w:val="none"/>
          <w:lang w:eastAsia="zh-CN"/>
        </w:rPr>
        <w:t xml:space="preserve">JSZC-320509-SJZB-C2026-0001</w:t>
      </w:r>
      <w:r>
        <w:rPr>
          <w:rFonts w:hint="eastAsia" w:ascii="宋体" w:hAnsi="宋体"/>
          <w:bCs/>
          <w:color w:val="auto"/>
          <w:sz w:val="30"/>
          <w:highlight w:val="none"/>
        </w:rPr>
        <w:t xml:space="preserve">号</w:t>
      </w:r>
      <w:r/>
    </w:p>
    <w:p>
      <w:pPr>
        <w:ind w:left="3295"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松陵街道食堂服务外包项目</w:t>
      </w:r>
      <w:r/>
    </w:p>
    <w:p>
      <w:pPr>
        <w:ind w:left="0" w:right="0" w:firstLine="1807"/>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苏州市吴江区人民政府松陵街道办事处</w:t>
      </w:r>
      <w:r/>
    </w:p>
    <w:p>
      <w:pPr>
        <w:ind w:right="0" w:firstLine="1807"/>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p>
    <w:p>
      <w:pPr>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p>
    <w:p>
      <w:pPr>
        <w:pStyle w:val="906"/>
        <w:rPr>
          <w:color w:val="000000"/>
          <w:highlight w:val="none"/>
        </w:rPr>
      </w:pPr>
      <w:r>
        <w:rPr>
          <w:color w:val="000000"/>
          <w:highlight w:val="none"/>
        </w:rPr>
      </w:r>
      <w:r/>
    </w:p>
    <w:p>
      <w:pPr>
        <w:pStyle w:val="907"/>
        <w:rPr>
          <w:color w:val="000000"/>
          <w:highlight w:val="none"/>
        </w:rPr>
      </w:pPr>
      <w:r>
        <w:rPr>
          <w:color w:val="000000"/>
          <w:highlight w:val="none"/>
        </w:rPr>
      </w:r>
      <w:r/>
    </w:p>
    <w:p>
      <w:pPr>
        <w:pStyle w:val="901"/>
        <w:rPr>
          <w:color w:val="000000"/>
          <w:highlight w:val="none"/>
        </w:rPr>
      </w:pPr>
      <w:r>
        <w:rPr>
          <w:color w:val="000000"/>
          <w:highlight w:val="none"/>
        </w:rPr>
      </w:r>
      <w:r/>
    </w:p>
    <w:p>
      <w:pPr>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0"/>
        <w:rPr>
          <w:color w:val="000000"/>
          <w:highlight w:val="none"/>
        </w:rPr>
      </w:pPr>
      <w:r>
        <w:rPr>
          <w:color w:val="000000"/>
          <w:highlight w:val="none"/>
        </w:rPr>
      </w:r>
      <w:r/>
    </w:p>
    <w:p>
      <w:pPr>
        <w:pStyle w:val="906"/>
        <w:ind w:left="0" w:firstLine="0"/>
        <w:jc w:val="center"/>
        <w:rPr>
          <w:rFonts w:ascii="Arial" w:hAnsi="Arial" w:cs="Arial"/>
          <w:color w:val="000000"/>
          <w:sz w:val="30"/>
          <w:szCs w:val="30"/>
          <w:highlight w:val="none"/>
          <w:lang w:val="zh-CN"/>
        </w:rPr>
      </w:pPr>
      <w:r>
        <w:rPr>
          <w:rFonts w:ascii="Arial" w:hAnsi="Arial" w:cs="Arial"/>
          <w:color w:val="000000"/>
          <w:sz w:val="30"/>
          <w:szCs w:val="30"/>
          <w:highlight w:val="none"/>
          <w:lang w:val="zh-CN"/>
        </w:rPr>
      </w:r>
      <w:r/>
    </w:p>
    <w:p>
      <w:pPr>
        <w:pStyle w:val="906"/>
        <w:ind w:left="0" w:firstLine="0"/>
        <w:jc w:val="center"/>
        <w:rPr>
          <w:rFonts w:ascii="Arial" w:hAnsi="Arial" w:cs="Arial"/>
          <w:color w:val="000000"/>
          <w:sz w:val="30"/>
          <w:szCs w:val="30"/>
          <w:highlight w:val="none"/>
          <w:lang w:val="zh-CN"/>
        </w:rPr>
      </w:pPr>
      <w:r>
        <w:rPr>
          <w:rFonts w:ascii="Arial" w:hAnsi="Arial" w:cs="Arial"/>
          <w:color w:val="000000"/>
          <w:sz w:val="30"/>
          <w:szCs w:val="30"/>
          <w:highlight w:val="none"/>
          <w:lang w:val="zh-CN"/>
        </w:rPr>
      </w:r>
      <w:r/>
    </w:p>
    <w:p>
      <w:pPr>
        <w:pStyle w:val="906"/>
        <w:ind w:left="0" w:firstLine="0"/>
        <w:jc w:val="center"/>
        <w:rPr>
          <w:color w:val="000000"/>
          <w:highlight w:val="none"/>
        </w:rPr>
      </w:pPr>
      <w:r>
        <w:rPr>
          <w:color w:val="000000"/>
          <w:highlight w:val="none"/>
        </w:rPr>
      </w:r>
      <w:r/>
    </w:p>
    <w:p>
      <w:pPr>
        <w:jc w:val="center"/>
        <w:spacing w:line="360" w:lineRule="auto"/>
        <w:rPr>
          <w:rFonts w:hint="eastAsia" w:ascii="宋体" w:hAnsi="宋体"/>
          <w:b/>
          <w:color w:val="000000"/>
          <w:sz w:val="30"/>
          <w:highlight w:val="none"/>
          <w:lang w:eastAsia="zh-CN"/>
        </w:rPr>
      </w:pPr>
      <w:r>
        <w:rPr>
          <w:rFonts w:hint="eastAsia" w:ascii="宋体" w:hAnsi="宋体"/>
          <w:b/>
          <w:color w:val="000000"/>
          <w:sz w:val="30"/>
          <w:highlight w:val="none"/>
          <w:lang w:eastAsia="zh-CN"/>
        </w:rPr>
        <w:t xml:space="preserve">苏州建设工程招标代理有限公司</w:t>
      </w:r>
      <w:r/>
    </w:p>
    <w:p>
      <w:pPr>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一</w:t>
      </w:r>
      <w:r>
        <w:rPr>
          <w:rFonts w:hint="eastAsia" w:ascii="宋体" w:hAnsi="宋体"/>
          <w:b/>
          <w:color w:val="000000"/>
          <w:sz w:val="30"/>
          <w:highlight w:val="none"/>
        </w:rPr>
        <w:t xml:space="preserve">月</w:t>
      </w:r>
      <w:r/>
    </w:p>
    <w:p>
      <w:pPr>
        <w:jc w:val="center"/>
        <w:pageBreakBefore/>
        <w:spacing w:line="360" w:lineRule="auto"/>
        <w:widowControl/>
        <w:rPr>
          <w:rFonts w:hint="eastAsia" w:ascii="宋体" w:hAnsi="宋体"/>
          <w:b/>
          <w:color w:val="000000"/>
          <w:sz w:val="48"/>
          <w:highlight w:val="none"/>
        </w:rPr>
        <w:sectPr>
          <w:headerReference w:type="default" r:id="rId9"/>
          <w:footerReference w:type="default" r:id="rId11"/>
          <w:footnotePr/>
          <w:endnotePr/>
          <w:type w:val="nextPage"/>
          <w:pgSz w:w="11850" w:h="16783" w:orient="portrait"/>
          <w:pgMar w:top="1440" w:right="1417" w:bottom="1440" w:left="1417" w:header="624" w:footer="510" w:gutter="113"/>
          <w:pgNumType w:start="1"/>
          <w:cols w:num="1" w:sep="0" w:space="1701" w:equalWidth="1"/>
          <w:docGrid w:linePitch="360"/>
          <w:titlePg/>
        </w:sectPr>
      </w:pPr>
      <w:r>
        <w:rPr>
          <w:rFonts w:hint="eastAsia" w:ascii="宋体" w:hAnsi="宋体"/>
          <w:b/>
          <w:color w:val="000000"/>
          <w:sz w:val="48"/>
          <w:highlight w:val="none"/>
        </w:rPr>
      </w:r>
      <w:r/>
    </w:p>
    <w:p>
      <w:pPr>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p>
    <w:p>
      <w:pPr>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4</w:t>
      </w:r>
      <w:r>
        <w:rPr>
          <w:rFonts w:hint="eastAsia" w:ascii="宋体" w:hAnsi="宋体" w:cs="宋体"/>
          <w:color w:val="000000"/>
          <w:sz w:val="32"/>
          <w:szCs w:val="32"/>
          <w:highlight w:val="none"/>
        </w:rPr>
        <w:t xml:space="preserve">.第四章 磋商成交原则和评审办法</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5</w:t>
      </w:r>
      <w:r>
        <w:rPr>
          <w:rFonts w:hint="eastAsia" w:ascii="宋体" w:hAnsi="宋体" w:cs="宋体"/>
          <w:color w:val="000000"/>
          <w:sz w:val="32"/>
          <w:szCs w:val="32"/>
          <w:highlight w:val="none"/>
        </w:rPr>
        <w:t xml:space="preserve">.第五章 合同主要条款</w:t>
      </w:r>
      <w:r/>
    </w:p>
    <w:p>
      <w:pPr>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rPr>
        <w:t xml:space="preserve">.第六章 文件格式及附件</w:t>
      </w:r>
      <w:r/>
    </w:p>
    <w:p>
      <w:pPr>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磋商邀请</w:t>
      </w:r>
      <w:r/>
    </w:p>
    <w:p>
      <w:pPr>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631"/>
      <w:r/>
      <w:bookmarkStart w:id="1" w:name="OLE_LINK3"/>
      <w:r/>
      <w:bookmarkStart w:id="2" w:name="_Toc35393800"/>
      <w:r/>
      <w:bookmarkStart w:id="3" w:name="OLE_LINK2"/>
      <w:r>
        <w:rPr>
          <w:rFonts w:hint="eastAsia" w:ascii="宋体" w:hAnsi="宋体" w:cs="宋体"/>
          <w:color w:val="000000"/>
          <w:sz w:val="24"/>
          <w:highlight w:val="none"/>
        </w:rPr>
        <w:t xml:space="preserve">项目概况</w:t>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松陵街道食堂服务外包项目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年</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月20</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bookmarkEnd w:id="0"/>
      <w:r/>
      <w:bookmarkEnd w:id="1"/>
      <w:r/>
      <w:bookmarkEnd w:id="2"/>
      <w:r/>
      <w:r/>
    </w:p>
    <w:p>
      <w:pPr>
        <w:pStyle w:val="922"/>
        <w:ind w:firstLine="482"/>
        <w:tabs>
          <w:tab w:val="left" w:pos="540" w:leader="none"/>
        </w:tabs>
        <w:rPr>
          <w:rFonts w:hint="eastAsia" w:ascii="宋体" w:hAnsi="宋体" w:cs="宋体"/>
          <w:b/>
          <w:color w:val="000000"/>
          <w:sz w:val="24"/>
          <w:highlight w:val="none"/>
        </w:rPr>
      </w:pPr>
      <w:r/>
      <w:bookmarkStart w:id="4" w:name="OLE_LINK4"/>
      <w:r/>
      <w:bookmarkStart w:id="5" w:name="OLE_LINK1"/>
      <w:r/>
      <w:bookmarkStart w:id="6" w:name="OLE_LINK6"/>
      <w:r>
        <w:rPr>
          <w:rFonts w:hint="eastAsia" w:ascii="宋体" w:hAnsi="宋体" w:cs="宋体"/>
          <w:b/>
          <w:color w:val="000000"/>
          <w:sz w:val="24"/>
          <w:highlight w:val="none"/>
        </w:rPr>
        <w:t xml:space="preserve">一、项目基本情况</w:t>
      </w:r>
      <w:r/>
    </w:p>
    <w:p>
      <w:pPr>
        <w:pStyle w:val="92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JSZC-320509-SJZB-C2026-0001</w:t>
      </w:r>
      <w:r/>
    </w:p>
    <w:p>
      <w:pPr>
        <w:pStyle w:val="922"/>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松陵街道食堂服务外包项目</w:t>
      </w:r>
      <w:r/>
    </w:p>
    <w:p>
      <w:pPr>
        <w:pStyle w:val="922"/>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3.预算金额：</w:t>
      </w:r>
      <w:r>
        <w:rPr>
          <w:rFonts w:hint="eastAsia" w:ascii="宋体" w:hAnsi="宋体" w:cs="宋体"/>
          <w:color w:val="000000"/>
          <w:sz w:val="24"/>
          <w:highlight w:val="none"/>
          <w:lang w:eastAsia="zh-CN"/>
        </w:rPr>
        <w:t xml:space="preserve">人民币贰佰</w:t>
      </w:r>
      <w:r>
        <w:rPr>
          <w:rFonts w:hint="eastAsia" w:ascii="宋体" w:hAnsi="宋体" w:cs="宋体"/>
          <w:color w:val="000000"/>
          <w:sz w:val="24"/>
          <w:highlight w:val="none"/>
          <w:lang w:val="en-US" w:eastAsia="zh-CN"/>
        </w:rPr>
        <w:t xml:space="preserve">壹拾</w:t>
      </w:r>
      <w:r>
        <w:rPr>
          <w:rFonts w:hint="eastAsia" w:ascii="宋体" w:hAnsi="宋体" w:cs="宋体"/>
          <w:color w:val="000000"/>
          <w:sz w:val="24"/>
          <w:highlight w:val="none"/>
          <w:lang w:eastAsia="zh-CN"/>
        </w:rPr>
        <w:t xml:space="preserve">伍万圆整（￥：2</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lang w:eastAsia="zh-CN"/>
        </w:rPr>
        <w:t xml:space="preserve">000.00）</w:t>
      </w:r>
      <w:r/>
    </w:p>
    <w:p>
      <w:pPr>
        <w:pStyle w:val="922"/>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4.最高限价：</w:t>
      </w:r>
      <w:r>
        <w:rPr>
          <w:rFonts w:hint="eastAsia" w:ascii="宋体" w:hAnsi="宋体" w:cs="宋体"/>
          <w:color w:val="000000"/>
          <w:sz w:val="24"/>
          <w:highlight w:val="none"/>
          <w:lang w:eastAsia="zh-CN"/>
        </w:rPr>
        <w:t xml:space="preserve">人民币贰佰</w:t>
      </w:r>
      <w:r>
        <w:rPr>
          <w:rFonts w:hint="eastAsia" w:ascii="宋体" w:hAnsi="宋体" w:cs="宋体"/>
          <w:color w:val="000000"/>
          <w:sz w:val="24"/>
          <w:highlight w:val="none"/>
          <w:lang w:val="en-US" w:eastAsia="zh-CN"/>
        </w:rPr>
        <w:t xml:space="preserve">壹拾</w:t>
      </w:r>
      <w:r>
        <w:rPr>
          <w:rFonts w:hint="eastAsia" w:ascii="宋体" w:hAnsi="宋体" w:cs="宋体"/>
          <w:color w:val="000000"/>
          <w:sz w:val="24"/>
          <w:highlight w:val="none"/>
          <w:lang w:eastAsia="zh-CN"/>
        </w:rPr>
        <w:t xml:space="preserve">伍万圆整（￥：2</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lang w:eastAsia="zh-CN"/>
        </w:rPr>
        <w:t xml:space="preserve">000.00）</w:t>
      </w:r>
      <w:r/>
    </w:p>
    <w:p>
      <w:pPr>
        <w:pStyle w:val="92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p>
    <w:p>
      <w:pPr>
        <w:pStyle w:val="922"/>
        <w:ind w:firstLine="480"/>
        <w:spacing w:line="360" w:lineRule="auto"/>
        <w:tabs>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负责苏州市吴江区人民政府松陵街道办事处食堂的正常运转，食堂区域的清洁和管理等服务。</w:t>
      </w:r>
      <w:r/>
    </w:p>
    <w:p>
      <w:pPr>
        <w:pStyle w:val="922"/>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cs="宋体"/>
          <w:bCs/>
          <w:color w:val="auto"/>
          <w:sz w:val="24"/>
          <w:szCs w:val="24"/>
          <w:highlight w:val="none"/>
        </w:rPr>
        <w:t xml:space="preserve">苏州市吴江区松陵街道办事处平时就餐人员约</w:t>
      </w:r>
      <w:r>
        <w:rPr>
          <w:rFonts w:ascii="宋体" w:hAnsi="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val="en-US" w:eastAsia="zh-CN"/>
        </w:rPr>
        <w:t xml:space="preserve">1</w:t>
      </w:r>
      <w:r>
        <w:rPr>
          <w:rFonts w:ascii="宋体" w:hAnsi="宋体" w:cs="宋体"/>
          <w:b w:val="0"/>
          <w:bCs w:val="0"/>
          <w:color w:val="auto"/>
          <w:sz w:val="24"/>
          <w:szCs w:val="24"/>
          <w:highlight w:val="none"/>
        </w:rPr>
        <w:t xml:space="preserve">0</w:t>
      </w:r>
      <w:r>
        <w:rPr>
          <w:rFonts w:hint="eastAsia" w:ascii="宋体" w:hAnsi="宋体" w:cs="宋体"/>
          <w:b w:val="0"/>
          <w:bCs w:val="0"/>
          <w:color w:val="auto"/>
          <w:sz w:val="24"/>
          <w:szCs w:val="24"/>
          <w:highlight w:val="none"/>
        </w:rPr>
        <w:t xml:space="preserve">人，</w:t>
      </w:r>
      <w:r>
        <w:rPr>
          <w:rFonts w:hint="eastAsia" w:ascii="宋体" w:hAnsi="宋体" w:cs="宋体"/>
          <w:b/>
          <w:bCs w:val="0"/>
          <w:color w:val="auto"/>
          <w:sz w:val="24"/>
          <w:szCs w:val="24"/>
          <w:highlight w:val="none"/>
        </w:rPr>
        <w:t xml:space="preserve">食堂运营工作人员餐由</w:t>
      </w:r>
      <w:r>
        <w:rPr>
          <w:rFonts w:hint="eastAsia" w:ascii="宋体" w:hAnsi="宋体" w:cs="宋体"/>
          <w:b/>
          <w:bCs w:val="0"/>
          <w:color w:val="auto"/>
          <w:sz w:val="24"/>
          <w:szCs w:val="24"/>
          <w:highlight w:val="none"/>
          <w:lang w:val="en-US" w:eastAsia="zh-CN"/>
        </w:rPr>
        <w:t xml:space="preserve">成交方</w:t>
      </w:r>
      <w:r>
        <w:rPr>
          <w:rFonts w:hint="eastAsia" w:ascii="宋体" w:hAnsi="宋体" w:cs="宋体"/>
          <w:b/>
          <w:bCs w:val="0"/>
          <w:color w:val="auto"/>
          <w:sz w:val="24"/>
          <w:szCs w:val="24"/>
          <w:highlight w:val="none"/>
        </w:rPr>
        <w:t xml:space="preserve">自行解决。</w:t>
      </w:r>
      <w:r>
        <w:rPr>
          <w:rFonts w:hint="eastAsia" w:ascii="宋体" w:hAnsi="宋体" w:cs="宋体"/>
          <w:bCs/>
          <w:color w:val="auto"/>
          <w:sz w:val="24"/>
          <w:szCs w:val="24"/>
          <w:highlight w:val="none"/>
        </w:rPr>
        <w:t xml:space="preserve">供餐时间为每日</w:t>
      </w:r>
      <w:r>
        <w:rPr>
          <w:rFonts w:ascii="SimSun" w:hAnsi="SimSun" w:eastAsia="SimSun" w:cs="SimSun"/>
          <w:color w:val="000000"/>
          <w:sz w:val="24"/>
        </w:rPr>
        <w:t xml:space="preserve">早餐、午餐和晚餐</w:t>
      </w:r>
      <w:r>
        <w:rPr>
          <w:rFonts w:hint="eastAsia" w:ascii="宋体" w:hAnsi="宋体" w:cs="宋体"/>
          <w:bCs/>
          <w:color w:val="auto"/>
          <w:sz w:val="24"/>
          <w:szCs w:val="24"/>
          <w:highlight w:val="none"/>
        </w:rPr>
        <w:t xml:space="preserve">（除特殊情况外，法定节假日及双休日不提供）。采购方提供厨房、餐厅及基础设施、全套厨房设施，并负责水、电、气（费用由采购方直接结算）。添置、更换、维修食堂相关设备设施，由运营</w:t>
      </w:r>
      <w:r>
        <w:rPr>
          <w:rFonts w:hint="eastAsia" w:ascii="宋体" w:hAnsi="宋体" w:cs="宋体"/>
          <w:bCs/>
          <w:color w:val="auto"/>
          <w:sz w:val="24"/>
          <w:szCs w:val="24"/>
          <w:highlight w:val="none"/>
          <w:lang w:val="en-US" w:eastAsia="zh-CN"/>
        </w:rPr>
        <w:t xml:space="preserve">方</w:t>
      </w:r>
      <w:r>
        <w:rPr>
          <w:rFonts w:hint="eastAsia" w:ascii="宋体" w:hAnsi="宋体" w:cs="宋体"/>
          <w:bCs/>
          <w:color w:val="auto"/>
          <w:sz w:val="24"/>
          <w:szCs w:val="24"/>
          <w:highlight w:val="none"/>
        </w:rPr>
        <w:t xml:space="preserve">提出，经采购方同意后由采购方负责购买。各类物资的采购由采购方负责。采购方有权监督核定餐厅菜式定价工作。</w:t>
      </w:r>
      <w:r>
        <w:rPr>
          <w:rFonts w:hint="eastAsia" w:ascii="宋体" w:hAnsi="宋体" w:eastAsia="宋体" w:cs="宋体"/>
          <w:color w:val="000000"/>
          <w:sz w:val="24"/>
          <w:szCs w:val="24"/>
          <w:highlight w:val="none"/>
        </w:rPr>
        <w:t xml:space="preserve">具体详见第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章磋商采购内容。</w:t>
      </w:r>
      <w:r/>
    </w:p>
    <w:p>
      <w:pPr>
        <w:pStyle w:val="922"/>
        <w:ind w:firstLine="480"/>
        <w:spacing w:line="360" w:lineRule="auto"/>
        <w:tabs>
          <w:tab w:val="left" w:pos="54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6.服务地点：</w:t>
      </w:r>
      <w:r>
        <w:rPr>
          <w:rFonts w:hint="eastAsia" w:ascii="宋体" w:hAnsi="宋体" w:cs="宋体"/>
          <w:color w:val="auto"/>
          <w:sz w:val="24"/>
          <w:szCs w:val="24"/>
          <w:highlight w:val="none"/>
        </w:rPr>
        <w:t xml:space="preserve">苏州市吴江区人民政府松陵街道办事处</w:t>
      </w:r>
      <w:r>
        <w:rPr>
          <w:rFonts w:hint="eastAsia" w:ascii="宋体" w:hAnsi="宋体" w:eastAsia="宋体" w:cs="宋体"/>
          <w:color w:val="000000"/>
          <w:sz w:val="24"/>
          <w:szCs w:val="24"/>
          <w:highlight w:val="none"/>
          <w:lang w:eastAsia="zh-CN"/>
        </w:rPr>
        <w:t xml:space="preserve">。</w:t>
      </w:r>
      <w:r/>
    </w:p>
    <w:p>
      <w:pPr>
        <w:pStyle w:val="922"/>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w:t>
      </w:r>
      <w:r>
        <w:rPr>
          <w:rFonts w:hint="eastAsia" w:ascii="宋体" w:hAnsi="宋体" w:eastAsia="宋体" w:cs="宋体"/>
          <w:color w:val="000000"/>
          <w:sz w:val="24"/>
          <w:szCs w:val="24"/>
          <w:highlight w:val="none"/>
          <w:lang w:eastAsia="zh-CN"/>
        </w:rPr>
        <w:t xml:space="preserve">自合同生效之日起</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年</w:t>
      </w:r>
      <w:r>
        <w:rPr>
          <w:rFonts w:hint="eastAsia" w:ascii="宋体" w:hAnsi="宋体" w:cs="宋体"/>
          <w:color w:val="000000"/>
          <w:sz w:val="24"/>
          <w:szCs w:val="24"/>
          <w:highlight w:val="none"/>
          <w:lang w:eastAsia="zh-CN"/>
        </w:rPr>
        <w:t xml:space="preserve">，</w:t>
      </w:r>
      <w:r>
        <w:rPr>
          <w:rFonts w:hint="eastAsia" w:ascii="宋体" w:hAnsi="宋体" w:cs="宋体"/>
          <w:color w:val="auto"/>
          <w:sz w:val="24"/>
          <w:szCs w:val="24"/>
          <w:highlight w:val="none"/>
        </w:rPr>
        <w:t xml:space="preserve">具体日期按合同约定。</w:t>
      </w:r>
      <w:r/>
    </w:p>
    <w:p>
      <w:pPr>
        <w:pStyle w:val="922"/>
        <w:ind w:firstLine="480"/>
        <w:spacing w:line="360" w:lineRule="auto"/>
        <w:tabs>
          <w:tab w:val="left" w:pos="54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8.验收标准：</w:t>
      </w:r>
      <w:r>
        <w:rPr>
          <w:rFonts w:hint="eastAsia" w:ascii="宋体" w:hAnsi="宋体" w:eastAsia="宋体" w:cs="宋体"/>
          <w:color w:val="000000"/>
          <w:sz w:val="24"/>
          <w:szCs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szCs w:val="24"/>
          <w:highlight w:val="none"/>
          <w:lang w:val="en-US" w:eastAsia="zh-CN"/>
        </w:rPr>
        <w:t xml:space="preserve">详见第三章磋商采购内容。</w:t>
      </w:r>
      <w:r/>
    </w:p>
    <w:p>
      <w:pPr>
        <w:pStyle w:val="922"/>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p>
    <w:p>
      <w:pPr>
        <w:pStyle w:val="92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p>
    <w:p>
      <w:pPr>
        <w:pStyle w:val="92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p>
    <w:p>
      <w:pPr>
        <w:pStyle w:val="92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p>
    <w:p>
      <w:pPr>
        <w:pStyle w:val="92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p>
    <w:p>
      <w:pPr>
        <w:pStyle w:val="92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p>
    <w:p>
      <w:pPr>
        <w:pStyle w:val="922"/>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p>
    <w:p>
      <w:pPr>
        <w:pStyle w:val="922"/>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p>
    <w:p>
      <w:pPr>
        <w:pStyle w:val="92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pStyle w:val="922"/>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p>
    <w:p>
      <w:pPr>
        <w:pStyle w:val="922"/>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）本项目（是/否）接受联合体：否</w:t>
      </w:r>
      <w:r/>
    </w:p>
    <w:p>
      <w:pPr>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p>
    <w:p>
      <w:pPr>
        <w:ind w:firstLine="480"/>
        <w:jc w:val="left"/>
        <w:spacing w:line="360" w:lineRule="auto"/>
        <w:widowControl/>
        <w:rPr>
          <w:rFonts w:hint="eastAsia" w:ascii="宋体" w:hAnsi="宋体" w:cs="宋体"/>
          <w:color w:val="000000"/>
          <w:sz w:val="24"/>
          <w:highlight w:val="none"/>
          <w:u w:val="single"/>
        </w:rPr>
      </w:pPr>
      <w:r/>
      <w:bookmarkStart w:id="7" w:name="_Toc28359095"/>
      <w:r/>
      <w:bookmarkStart w:id="8" w:name="_Toc35393636"/>
      <w:r/>
      <w:bookmarkStart w:id="9" w:name="_Toc28359018"/>
      <w:r/>
      <w:bookmarkStart w:id="10" w:name="_Toc3539380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月13</w:t>
      </w:r>
      <w:r>
        <w:rPr>
          <w:rFonts w:hint="eastAsia" w:ascii="宋体" w:hAnsi="宋体" w:cs="宋体"/>
          <w:color w:val="000000"/>
          <w:sz w:val="24"/>
          <w:highlight w:val="none"/>
        </w:rPr>
        <w:t xml:space="preserve">日23:59（北京时间）。</w:t>
      </w:r>
      <w:r/>
    </w:p>
    <w:p>
      <w:pPr>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p>
    <w:p>
      <w:pPr>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p>
    <w:p>
      <w:pPr>
        <w:pStyle w:val="923"/>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1.递交响应文件截止时间：</w:t>
      </w:r>
      <w:r>
        <w:rPr>
          <w:rFonts w:hint="eastAsia" w:ascii="宋体" w:hAnsi="宋体" w:eastAsia="宋体" w:cs="宋体"/>
          <w:color w:val="000000" w:themeColor="text1"/>
          <w:szCs w:val="24"/>
          <w:highlight w:val="none"/>
          <w:lang w:eastAsia="zh-CN"/>
        </w:rPr>
        <w:t xml:space="preserve">202</w:t>
      </w:r>
      <w:r>
        <w:rPr>
          <w:rFonts w:hint="eastAsia" w:ascii="宋体" w:hAnsi="宋体" w:eastAsia="宋体" w:cs="宋体"/>
          <w:color w:val="000000" w:themeColor="text1"/>
          <w:szCs w:val="24"/>
          <w:highlight w:val="none"/>
          <w:lang w:val="en-US" w:eastAsia="zh-CN"/>
        </w:rPr>
        <w:t xml:space="preserve">6</w:t>
      </w:r>
      <w:r>
        <w:rPr>
          <w:rFonts w:hint="eastAsia" w:ascii="宋体" w:hAnsi="宋体" w:eastAsia="宋体" w:cs="宋体"/>
          <w:color w:val="000000" w:themeColor="text1"/>
          <w:szCs w:val="24"/>
          <w:highlight w:val="none"/>
          <w:lang w:eastAsia="zh-CN"/>
        </w:rPr>
        <w:t xml:space="preserve">年</w:t>
      </w:r>
      <w:r>
        <w:rPr>
          <w:rFonts w:hint="eastAsia" w:ascii="宋体" w:hAnsi="宋体" w:eastAsia="宋体" w:cs="宋体"/>
          <w:color w:val="000000" w:themeColor="text1"/>
          <w:szCs w:val="24"/>
          <w:highlight w:val="none"/>
          <w:lang w:val="en-US" w:eastAsia="zh-CN"/>
        </w:rPr>
        <w:t xml:space="preserve">1</w:t>
      </w:r>
      <w:r>
        <w:rPr>
          <w:rFonts w:hint="eastAsia" w:ascii="宋体" w:hAnsi="宋体" w:eastAsia="宋体" w:cs="宋体"/>
          <w:color w:val="000000" w:themeColor="text1"/>
          <w:szCs w:val="24"/>
          <w:highlight w:val="none"/>
          <w:lang w:eastAsia="zh-CN"/>
        </w:rPr>
        <w:t xml:space="preserve">月20</w:t>
      </w:r>
      <w:r>
        <w:rPr>
          <w:rFonts w:hint="eastAsia" w:ascii="宋体" w:hAnsi="宋体" w:eastAsia="宋体" w:cs="宋体"/>
          <w:color w:val="000000" w:themeColor="text1"/>
          <w:szCs w:val="24"/>
          <w:highlight w:val="none"/>
          <w:lang w:eastAsia="zh-CN"/>
        </w:rPr>
        <w:t xml:space="preserve">日</w:t>
      </w:r>
      <w:r>
        <w:rPr>
          <w:rFonts w:hint="eastAsia" w:ascii="宋体" w:hAnsi="宋体" w:eastAsia="宋体" w:cs="宋体"/>
          <w:color w:val="000000" w:themeColor="text1"/>
          <w:szCs w:val="24"/>
          <w:highlight w:val="none"/>
          <w:lang w:val="en-US" w:eastAsia="zh-CN"/>
        </w:rPr>
        <w:t xml:space="preserve">13</w:t>
      </w:r>
      <w:r>
        <w:rPr>
          <w:rFonts w:hint="eastAsia" w:ascii="宋体" w:hAnsi="宋体" w:eastAsia="宋体" w:cs="宋体"/>
          <w:color w:val="000000" w:themeColor="text1"/>
          <w:szCs w:val="24"/>
          <w:highlight w:val="none"/>
          <w:lang w:eastAsia="zh-CN"/>
        </w:rPr>
        <w:t xml:space="preserve">点30分</w:t>
      </w:r>
      <w:r>
        <w:rPr>
          <w:rFonts w:hint="eastAsia" w:ascii="宋体" w:hAnsi="宋体" w:eastAsia="宋体" w:cs="宋体"/>
          <w:color w:val="000000" w:themeColor="text1"/>
          <w:szCs w:val="24"/>
          <w:highlight w:val="none"/>
        </w:rPr>
        <w:t xml:space="preserve">（北京时间）。</w:t>
      </w:r>
      <w:r>
        <w:rPr>
          <w:color w:val="000000" w:themeColor="text1"/>
        </w:rPr>
      </w:r>
      <w:r/>
    </w:p>
    <w:p>
      <w:pPr>
        <w:pStyle w:val="92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p>
    <w:p>
      <w:pPr>
        <w:pStyle w:val="92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1.开启时间：</w:t>
      </w:r>
      <w:r>
        <w:rPr>
          <w:rFonts w:hint="eastAsia" w:ascii="宋体" w:hAnsi="宋体" w:cs="宋体"/>
          <w:color w:val="000000" w:themeColor="text1"/>
          <w:sz w:val="24"/>
          <w:highlight w:val="none"/>
          <w:lang w:eastAsia="zh-CN"/>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lang w:eastAsia="zh-CN"/>
        </w:rPr>
        <w:t xml:space="preserve">年</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eastAsia="zh-CN"/>
        </w:rPr>
        <w:t xml:space="preserve">月20</w:t>
      </w:r>
      <w:r>
        <w:rPr>
          <w:rFonts w:hint="eastAsia" w:ascii="宋体" w:hAnsi="宋体" w:cs="宋体"/>
          <w:color w:val="000000" w:themeColor="text1"/>
          <w:sz w:val="24"/>
          <w:highlight w:val="none"/>
          <w:lang w:eastAsia="zh-CN"/>
        </w:rPr>
        <w:t xml:space="preserve">日</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lang w:eastAsia="zh-CN"/>
        </w:rPr>
        <w:t xml:space="preserve">点30分</w:t>
      </w:r>
      <w:r>
        <w:rPr>
          <w:rFonts w:hint="eastAsia" w:ascii="宋体" w:hAnsi="宋体" w:cs="宋体"/>
          <w:color w:val="000000" w:themeColor="text1"/>
          <w:sz w:val="24"/>
          <w:highlight w:val="none"/>
        </w:rPr>
        <w:t xml:space="preserve">（北京时间）</w:t>
      </w:r>
      <w:r>
        <w:rPr>
          <w:color w:val="000000" w:themeColor="text1"/>
        </w:rPr>
      </w:r>
      <w:r/>
    </w:p>
    <w:p>
      <w:pPr>
        <w:pStyle w:val="92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p>
    <w:p>
      <w:pPr>
        <w:pStyle w:val="92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p>
    <w:p>
      <w:pPr>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p>
    <w:p>
      <w:pPr>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自本公告发布之日起3个工作</w:t>
      </w:r>
      <w:r>
        <w:rPr>
          <w:rFonts w:hint="eastAsia" w:ascii="宋体" w:hAnsi="宋体" w:cs="宋体"/>
          <w:color w:val="000000"/>
          <w:sz w:val="24"/>
          <w:highlight w:val="none"/>
          <w:shd w:val="clear" w:color="auto" w:fill="ffffff"/>
        </w:rPr>
        <w:t xml:space="preserve">日。</w:t>
      </w:r>
      <w:bookmarkEnd w:id="11"/>
      <w:r/>
      <w:bookmarkEnd w:id="12"/>
      <w:r/>
      <w:r/>
    </w:p>
    <w:p>
      <w:pPr>
        <w:pStyle w:val="915"/>
        <w:ind w:firstLine="482"/>
        <w:spacing w:beforeAutospacing="0" w:afterAutospacing="0" w:line="360" w:lineRule="auto"/>
        <w:rPr>
          <w:rFonts w:hint="eastAsia" w:ascii="宋体" w:hAnsi="宋体" w:cs="宋体"/>
          <w:b/>
          <w:bCs/>
          <w:color w:val="000000"/>
          <w:highlight w:val="none"/>
          <w:shd w:val="clear" w:color="auto" w:fill="ffffff"/>
        </w:rPr>
      </w:pPr>
      <w:r>
        <w:rPr>
          <w:rFonts w:hint="eastAsia" w:ascii="宋体" w:hAnsi="宋体" w:cs="宋体"/>
          <w:b/>
          <w:bCs/>
          <w:color w:val="000000"/>
          <w:highlight w:val="none"/>
          <w:shd w:val="clear" w:color="auto" w:fill="ffffff"/>
        </w:rPr>
        <w:t xml:space="preserve">七、其他补充事宜 </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p>
    <w:p>
      <w:pPr>
        <w:pStyle w:val="91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p>
    <w:p>
      <w:p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35393806"/>
      <w:r/>
      <w:bookmarkStart w:id="15" w:name="_Toc28359019"/>
      <w:r/>
      <w:bookmarkStart w:id="16" w:name="_Toc28359096"/>
      <w:r/>
      <w:bookmarkEnd w:id="13"/>
      <w:r/>
      <w:bookmarkEnd w:id="14"/>
      <w:r/>
      <w:bookmarkEnd w:id="15"/>
      <w:r/>
      <w:bookmarkEnd w:id="16"/>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1.采购人信息 </w:t>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名    称：苏州市吴江区人民政府松陵街道办事处　　　　　　　　　　　　</w:t>
      </w:r>
      <w:r/>
    </w:p>
    <w:p>
      <w:pPr>
        <w:ind w:firstLine="480"/>
        <w:jc w:val="left"/>
        <w:spacing w:line="360" w:lineRule="auto"/>
        <w:rPr>
          <w:rFonts w:hint="eastAsia" w:ascii="宋体" w:hAnsi="宋体" w:eastAsia="宋体" w:cs="宋体"/>
          <w:color w:val="000000" w:themeColor="text1"/>
          <w:sz w:val="24"/>
          <w:highlight w:val="none"/>
          <w:shd w:val="clear" w:color="auto" w:fill="ffffff"/>
        </w:rPr>
      </w:pPr>
      <w:r>
        <w:rPr>
          <w:rFonts w:hint="eastAsia" w:ascii="宋体" w:hAnsi="宋体" w:eastAsia="宋体" w:cs="宋体"/>
          <w:color w:val="000000" w:themeColor="text1"/>
          <w:sz w:val="24"/>
          <w:highlight w:val="none"/>
          <w:shd w:val="clear" w:color="auto" w:fill="ffffff"/>
          <w:lang w:val="zh-CN"/>
        </w:rPr>
        <w:t xml:space="preserve">地    址：苏州市吴江区</w:t>
      </w:r>
      <w:r>
        <w:rPr>
          <w:rFonts w:hint="eastAsia" w:ascii="宋体" w:hAnsi="宋体" w:cs="宋体"/>
          <w:color w:val="000000" w:themeColor="text1"/>
          <w:sz w:val="24"/>
          <w:highlight w:val="none"/>
          <w:shd w:val="clear" w:color="auto" w:fill="ffffff"/>
          <w:lang w:val="en-US" w:eastAsia="zh-CN"/>
        </w:rPr>
        <w:t xml:space="preserve">县府路98</w:t>
      </w:r>
      <w:r>
        <w:rPr>
          <w:rFonts w:hint="eastAsia" w:ascii="宋体" w:hAnsi="宋体" w:eastAsia="宋体" w:cs="宋体"/>
          <w:color w:val="000000" w:themeColor="text1"/>
          <w:sz w:val="24"/>
          <w:highlight w:val="none"/>
          <w:shd w:val="clear" w:color="auto" w:fill="ffffff"/>
          <w:lang w:val="zh-CN"/>
        </w:rPr>
        <w:t xml:space="preserve">号</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联 系 人：</w:t>
      </w:r>
      <w:r>
        <w:rPr>
          <w:rFonts w:hint="eastAsia" w:ascii="宋体" w:hAnsi="宋体" w:eastAsia="宋体" w:cs="宋体"/>
          <w:color w:val="000000" w:themeColor="text1"/>
          <w:sz w:val="24"/>
          <w:shd w:val="clear" w:color="auto" w:fill="ffffff"/>
          <w14:textFill>
            <w14:solidFill>
              <w14:schemeClr w14:val="tx1"/>
            </w14:solidFill>
          </w14:textFill>
        </w:rPr>
        <w:t xml:space="preserve">卢欣宜</w:t>
      </w:r>
      <w:r/>
    </w:p>
    <w:p>
      <w:pPr>
        <w:ind w:firstLine="480"/>
        <w:jc w:val="left"/>
        <w:spacing w:line="360" w:lineRule="auto"/>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pPr>
      <w:r>
        <w:rPr>
          <w:rFonts w:hint="eastAsia" w:ascii="宋体" w:hAnsi="宋体" w:eastAsia="宋体" w:cs="宋体"/>
          <w:color w:val="000000" w:themeColor="text1"/>
          <w:sz w:val="24"/>
          <w:highlight w:val="none"/>
          <w:shd w:val="clear" w:color="auto" w:fill="ffffff"/>
          <w:lang w:val="zh-CN"/>
          <w14:textFill>
            <w14:solidFill>
              <w14:schemeClr w14:val="tx1"/>
            </w14:solidFill>
          </w14:textFill>
        </w:rPr>
        <w:t xml:space="preserve">联系方式：</w:t>
      </w:r>
      <w:r>
        <w:rPr>
          <w:rFonts w:hint="eastAsia" w:ascii="宋体" w:hAnsi="宋体" w:eastAsia="宋体" w:cs="宋体"/>
          <w:color w:val="000000" w:themeColor="text1"/>
          <w:sz w:val="24"/>
          <w:highlight w:val="none"/>
          <w:shd w:val="clear" w:color="auto" w:fill="ffffff"/>
          <w:lang w:val="zh-CN" w:eastAsia="zh-CN"/>
          <w14:textFill>
            <w14:solidFill>
              <w14:schemeClr w14:val="tx1"/>
            </w14:solidFill>
          </w14:textFill>
        </w:rPr>
        <w:t xml:space="preserve">0512-</w:t>
      </w:r>
      <w:r>
        <w:rPr>
          <w:rFonts w:hint="eastAsia" w:ascii="宋体" w:hAnsi="宋体" w:eastAsia="宋体" w:cs="宋体"/>
          <w:color w:val="000000" w:themeColor="text1"/>
          <w:sz w:val="24"/>
          <w:shd w:val="clear" w:color="auto" w:fill="ffffff"/>
          <w14:textFill>
            <w14:solidFill>
              <w14:schemeClr w14:val="tx1"/>
            </w14:solidFill>
          </w14:textFill>
        </w:rPr>
        <w:t xml:space="preserve">60906017</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p>
    <w:p>
      <w:pPr>
        <w:ind w:firstLine="480"/>
        <w:jc w:val="left"/>
        <w:spacing w:line="360" w:lineRule="auto"/>
        <w:rPr>
          <w:rFonts w:hint="eastAsia" w:ascii="宋体" w:hAnsi="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苏州建设工程招标代理有限公司</w:t>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ascii="宋体" w:hAnsi="宋体" w:eastAsia="宋体" w:cs="宋体"/>
          <w:b w:val="0"/>
          <w:bCs/>
          <w:sz w:val="24"/>
          <w:szCs w:val="24"/>
        </w:rPr>
        <w:t xml:space="preserve">苏州市姑苏区养育巷331号</w:t>
      </w:r>
      <w:r>
        <w:rPr>
          <w:rFonts w:hint="eastAsia" w:ascii="宋体" w:hAnsi="宋体" w:cs="宋体"/>
          <w:color w:val="000000"/>
          <w:sz w:val="24"/>
          <w:highlight w:val="none"/>
          <w:shd w:val="clear" w:color="auto" w:fill="ffffff"/>
        </w:rPr>
        <w:t xml:space="preserve"> </w:t>
      </w:r>
      <w:r/>
    </w:p>
    <w:p>
      <w:pPr>
        <w:ind w:firstLine="480"/>
        <w:jc w:val="left"/>
        <w:spacing w:line="360" w:lineRule="auto"/>
        <w:rPr>
          <w:rFonts w:hint="eastAsia"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val="en-US" w:eastAsia="zh-CN"/>
        </w:rPr>
        <w:t xml:space="preserve">王剑峰</w:t>
      </w:r>
      <w:r/>
    </w:p>
    <w:p>
      <w:pPr>
        <w:ind w:firstLine="480"/>
        <w:jc w:val="left"/>
        <w:spacing w:line="360" w:lineRule="auto"/>
        <w:rPr>
          <w:rFonts w:hint="default"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w:t>
      </w:r>
      <w:r>
        <w:rPr>
          <w:rFonts w:hint="eastAsia" w:ascii="宋体" w:hAnsi="宋体" w:cs="宋体"/>
          <w:color w:val="000000"/>
          <w:sz w:val="24"/>
          <w:highlight w:val="none"/>
          <w:shd w:val="clear" w:color="auto" w:fill="ffffff"/>
          <w:lang w:val="en-US" w:eastAsia="zh-CN"/>
        </w:rPr>
        <w:t xml:space="preserve">488128</w:t>
      </w:r>
      <w:bookmarkEnd w:id="3"/>
      <w:r/>
      <w:bookmarkEnd w:id="4"/>
      <w:r/>
      <w:bookmarkEnd w:id="5"/>
      <w:r/>
      <w:bookmarkEnd w:id="6"/>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p>
    <w:p>
      <w:pPr>
        <w:ind w:firstLine="482"/>
        <w:keepLines/>
        <w:keepNext/>
        <w:spacing w:line="360" w:lineRule="auto"/>
        <w:rPr>
          <w:rFonts w:hint="eastAsia" w:ascii="宋体" w:hAnsi="宋体" w:cs="宋体"/>
          <w:b/>
          <w:bCs/>
          <w:color w:val="000000"/>
          <w:sz w:val="24"/>
          <w:highlight w:val="none"/>
        </w:rPr>
        <w:outlineLvl w:val="2"/>
      </w:pPr>
      <w:r/>
      <w:bookmarkStart w:id="17" w:name="_Toc16938519"/>
      <w:r/>
      <w:bookmarkStart w:id="18" w:name="_Toc513029203"/>
      <w:r/>
      <w:bookmarkStart w:id="19" w:name="_Toc120614214"/>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
    </w:p>
    <w:p>
      <w:pPr>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16938520"/>
      <w:r/>
      <w:bookmarkStart w:id="23" w:name="_Toc20823276"/>
      <w:r/>
      <w:bookmarkStart w:id="24" w:name="_Toc513029204"/>
      <w:r>
        <w:rPr>
          <w:rFonts w:hint="eastAsia" w:ascii="宋体" w:hAnsi="宋体" w:cs="宋体"/>
          <w:color w:val="000000"/>
          <w:sz w:val="24"/>
          <w:highlight w:val="none"/>
        </w:rPr>
        <w:t xml:space="preserve">1.采购方式</w:t>
      </w:r>
      <w:bookmarkEnd w:id="22"/>
      <w:r/>
      <w:bookmarkEnd w:id="23"/>
      <w:r/>
      <w:bookmarkEnd w:id="24"/>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p>
    <w:p>
      <w:pPr>
        <w:ind w:firstLine="480"/>
        <w:keepLines/>
        <w:keepNext/>
        <w:spacing w:line="360" w:lineRule="auto"/>
        <w:rPr>
          <w:rFonts w:hint="eastAsia" w:ascii="宋体" w:hAnsi="宋体" w:cs="宋体"/>
          <w:color w:val="000000"/>
          <w:sz w:val="24"/>
          <w:highlight w:val="none"/>
        </w:rPr>
        <w:outlineLvl w:val="3"/>
      </w:pPr>
      <w:r/>
      <w:bookmarkStart w:id="25" w:name="_Toc16938521"/>
      <w:r/>
      <w:bookmarkStart w:id="26" w:name="_Toc513029205"/>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p>
    <w:p>
      <w:pPr>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16938522"/>
      <w:r/>
      <w:bookmarkStart w:id="30" w:name="_Toc513029206"/>
      <w:r>
        <w:rPr>
          <w:rFonts w:hint="eastAsia" w:ascii="宋体" w:hAnsi="宋体" w:cs="宋体"/>
          <w:color w:val="000000"/>
          <w:sz w:val="24"/>
          <w:highlight w:val="none"/>
        </w:rPr>
        <w:t xml:space="preserve">3.适用法律</w:t>
      </w:r>
      <w:bookmarkEnd w:id="28"/>
      <w:r/>
      <w:bookmarkEnd w:id="29"/>
      <w:r/>
      <w:bookmarkEnd w:id="30"/>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p>
    <w:p>
      <w:pPr>
        <w:ind w:firstLine="480"/>
        <w:keepLines/>
        <w:keepNext/>
        <w:spacing w:line="360" w:lineRule="auto"/>
        <w:rPr>
          <w:rFonts w:hint="eastAsia" w:ascii="宋体" w:hAnsi="宋体" w:cs="宋体"/>
          <w:color w:val="000000"/>
          <w:sz w:val="24"/>
          <w:szCs w:val="24"/>
          <w:highlight w:val="none"/>
        </w:rPr>
        <w:outlineLvl w:val="3"/>
      </w:pPr>
      <w:r/>
      <w:bookmarkStart w:id="31" w:name="_Toc462564067"/>
      <w:r/>
      <w:bookmarkStart w:id="32" w:name="_Toc513029207"/>
      <w:r/>
      <w:bookmarkStart w:id="33" w:name="_Toc20823279"/>
      <w:r/>
      <w:bookmarkStart w:id="34" w:name="_Toc16938523"/>
      <w:r>
        <w:rPr>
          <w:rFonts w:hint="eastAsia" w:ascii="宋体" w:hAnsi="宋体" w:cs="宋体"/>
          <w:color w:val="000000"/>
          <w:sz w:val="24"/>
          <w:szCs w:val="24"/>
          <w:highlight w:val="none"/>
        </w:rPr>
        <w:t xml:space="preserve">4.磋商费用</w:t>
      </w:r>
      <w:bookmarkEnd w:id="31"/>
      <w:r/>
      <w:bookmarkEnd w:id="32"/>
      <w:r/>
      <w:bookmarkEnd w:id="33"/>
      <w:r/>
      <w:bookmarkEnd w:id="34"/>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4.1 供应商应自行承担所有与参加</w:t>
      </w:r>
      <w:r>
        <w:rPr>
          <w:rFonts w:hint="eastAsia" w:ascii="宋体" w:hAnsi="宋体" w:cs="宋体"/>
          <w:bCs/>
          <w:color w:val="000000"/>
          <w:sz w:val="24"/>
          <w:szCs w:val="24"/>
          <w:highlight w:val="none"/>
          <w:lang w:val="en-US" w:eastAsia="zh-CN"/>
        </w:rPr>
        <w:t xml:space="preserve">磋商</w:t>
      </w:r>
      <w:r>
        <w:rPr>
          <w:rFonts w:hint="eastAsia" w:ascii="宋体" w:hAnsi="宋体" w:cs="宋体"/>
          <w:bCs/>
          <w:color w:val="000000"/>
          <w:sz w:val="24"/>
          <w:szCs w:val="24"/>
          <w:highlight w:val="none"/>
        </w:rPr>
        <w:t xml:space="preserve">有关的费用，无论</w:t>
      </w:r>
      <w:r>
        <w:rPr>
          <w:rFonts w:hint="eastAsia" w:ascii="宋体" w:hAnsi="宋体" w:cs="宋体"/>
          <w:bCs/>
          <w:color w:val="000000"/>
          <w:sz w:val="24"/>
          <w:szCs w:val="24"/>
          <w:highlight w:val="none"/>
          <w:lang w:val="en-US" w:eastAsia="zh-CN"/>
        </w:rPr>
        <w:t xml:space="preserve">磋商</w:t>
      </w:r>
      <w:r>
        <w:rPr>
          <w:rFonts w:hint="eastAsia" w:ascii="宋体" w:hAnsi="宋体" w:cs="宋体"/>
          <w:bCs/>
          <w:color w:val="000000"/>
          <w:sz w:val="24"/>
          <w:szCs w:val="24"/>
          <w:highlight w:val="none"/>
        </w:rPr>
        <w:t xml:space="preserve">过程中的做法和结果如何，</w:t>
      </w:r>
      <w:r>
        <w:rPr>
          <w:rFonts w:hint="eastAsia" w:ascii="宋体" w:hAnsi="宋体" w:cs="宋体"/>
          <w:bCs/>
          <w:color w:val="000000"/>
          <w:sz w:val="24"/>
          <w:szCs w:val="24"/>
          <w:highlight w:val="none"/>
          <w:lang w:eastAsia="zh-CN"/>
        </w:rPr>
        <w:t xml:space="preserve">苏州建设工程招标代理有限公司</w:t>
      </w:r>
      <w:r>
        <w:rPr>
          <w:rFonts w:hint="eastAsia" w:ascii="宋体" w:hAnsi="宋体" w:cs="宋体"/>
          <w:bCs/>
          <w:color w:val="000000"/>
          <w:sz w:val="24"/>
          <w:szCs w:val="24"/>
          <w:highlight w:val="none"/>
        </w:rPr>
        <w:t xml:space="preserve">（以下简称采购代理机构）在任何情况下均无义务和责任承担这些费用。</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4.2</w:t>
      </w:r>
      <w:r>
        <w:rPr>
          <w:rFonts w:hint="eastAsia" w:ascii="宋体" w:hAnsi="宋体" w:cs="宋体"/>
          <w:b/>
          <w:bCs/>
          <w:color w:val="000000"/>
          <w:sz w:val="24"/>
          <w:szCs w:val="24"/>
          <w:highlight w:val="none"/>
        </w:rPr>
        <w:t xml:space="preserve">成交服务费：</w:t>
      </w:r>
      <w:r>
        <w:rPr>
          <w:rStyle w:val="925"/>
          <w:rFonts w:hint="eastAsia" w:ascii="宋体" w:hAnsi="宋体" w:cs="宋体"/>
          <w:b/>
          <w:bCs/>
          <w:color w:val="000000"/>
          <w:sz w:val="24"/>
          <w:szCs w:val="24"/>
          <w:highlight w:val="none"/>
        </w:rPr>
        <w:t xml:space="preserve">由成交单位按照预算总金额计算并支付，具体为100万元以内1.5%、100万元～500万元以内1.1%差额定率累进法计算</w:t>
      </w:r>
      <w:r>
        <w:rPr>
          <w:rStyle w:val="925"/>
          <w:rFonts w:hint="eastAsia" w:ascii="宋体" w:hAnsi="宋体" w:cs="宋体"/>
          <w:b/>
          <w:bCs/>
          <w:color w:val="000000"/>
          <w:sz w:val="24"/>
          <w:szCs w:val="24"/>
          <w:highlight w:val="none"/>
          <w:lang w:eastAsia="zh-CN"/>
        </w:rPr>
        <w:t xml:space="preserve">，</w:t>
      </w:r>
      <w:r>
        <w:rPr>
          <w:rStyle w:val="925"/>
          <w:rFonts w:hint="eastAsia" w:ascii="宋体" w:hAnsi="宋体" w:cs="宋体"/>
          <w:b/>
          <w:bCs/>
          <w:color w:val="000000"/>
          <w:sz w:val="24"/>
          <w:szCs w:val="24"/>
          <w:highlight w:val="none"/>
        </w:rPr>
        <w:t xml:space="preserve">并</w:t>
      </w:r>
      <w:r>
        <w:rPr>
          <w:rStyle w:val="925"/>
          <w:rFonts w:hint="eastAsia" w:ascii="宋体" w:hAnsi="宋体" w:cs="宋体"/>
          <w:b/>
          <w:bCs/>
          <w:color w:val="000000"/>
          <w:sz w:val="24"/>
          <w:szCs w:val="24"/>
          <w:highlight w:val="none"/>
          <w:lang w:val="en-US" w:eastAsia="zh-CN"/>
        </w:rPr>
        <w:t xml:space="preserve">按中介超市成交折扣率70%</w:t>
      </w:r>
      <w:r>
        <w:rPr>
          <w:rStyle w:val="925"/>
          <w:rFonts w:hint="eastAsia" w:ascii="宋体" w:hAnsi="宋体" w:cs="宋体"/>
          <w:b/>
          <w:bCs/>
          <w:color w:val="000000"/>
          <w:sz w:val="24"/>
          <w:szCs w:val="24"/>
          <w:highlight w:val="none"/>
        </w:rPr>
        <w:t xml:space="preserve">支付成交</w:t>
      </w:r>
      <w:r>
        <w:rPr>
          <w:rStyle w:val="925"/>
          <w:rFonts w:hint="eastAsia" w:ascii="宋体" w:hAnsi="宋体" w:cs="宋体"/>
          <w:b/>
          <w:bCs/>
          <w:color w:val="000000"/>
          <w:sz w:val="24"/>
          <w:szCs w:val="24"/>
          <w:highlight w:val="none"/>
          <w:lang w:val="en-US" w:eastAsia="zh-CN"/>
        </w:rPr>
        <w:t xml:space="preserve">服务费</w:t>
      </w:r>
      <w:r>
        <w:rPr>
          <w:rStyle w:val="925"/>
          <w:rFonts w:hint="eastAsia" w:ascii="宋体" w:hAnsi="宋体" w:cs="宋体"/>
          <w:b/>
          <w:bCs/>
          <w:color w:val="000000"/>
          <w:sz w:val="24"/>
          <w:szCs w:val="24"/>
          <w:highlight w:val="none"/>
        </w:rPr>
        <w:t xml:space="preserve">，该费用应在领取成交通知书时付清。</w:t>
      </w:r>
      <w:r>
        <w:rPr>
          <w:b/>
          <w:bCs/>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服务费交纳账户：</w:t>
      </w:r>
      <w:r>
        <w:rPr>
          <w:rFonts w:hint="eastAsia" w:ascii="宋体" w:hAnsi="宋体" w:cs="宋体"/>
          <w:color w:val="000000"/>
          <w:sz w:val="24"/>
          <w:szCs w:val="24"/>
          <w:highlight w:val="none"/>
          <w:lang w:eastAsia="zh-CN"/>
        </w:rPr>
        <w:t xml:space="preserve">苏州建设工程招标代理有限公司分公司</w:t>
      </w:r>
      <w:r>
        <w:rPr>
          <w:rFonts w:hint="eastAsia" w:ascii="宋体" w:hAnsi="宋体" w:cs="宋体"/>
          <w:color w:val="000000"/>
          <w:sz w:val="24"/>
          <w:szCs w:val="24"/>
          <w:highlight w:val="none"/>
        </w:rPr>
        <w:t xml:space="preserve">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eastAsia="宋体" w:cs="宋体"/>
          <w:color w:val="000000"/>
          <w:sz w:val="24"/>
          <w:szCs w:val="24"/>
        </w:rPr>
        <w:t xml:space="preserve">苏州农村商业银行营业部</w:t>
      </w:r>
      <w:r>
        <w:rPr>
          <w:rFonts w:hint="eastAsia" w:ascii="宋体" w:hAnsi="宋体" w:cs="宋体"/>
          <w:color w:val="000000"/>
          <w:sz w:val="24"/>
          <w:szCs w:val="24"/>
          <w:highlight w:val="none"/>
        </w:rPr>
        <w:t xml:space="preserve"> </w:t>
      </w:r>
      <w:r/>
    </w:p>
    <w:p>
      <w:pPr>
        <w:ind w:firstLine="480"/>
        <w:jc w:val="both"/>
        <w:keepLines w:val="0"/>
        <w:keepNext w:val="0"/>
        <w:pageBreakBefore w:val="0"/>
        <w:spacing w:line="400" w:lineRule="exact"/>
        <w:rPr>
          <w:rFonts w:hint="eastAsia" w:ascii="宋体" w:hAnsi="宋体" w:eastAsia="宋体" w:cs="宋体"/>
          <w:color w:val="000000"/>
          <w:sz w:val="24"/>
          <w:szCs w:val="24"/>
        </w:rPr>
        <w:outlineLvl w:val="9"/>
      </w:pPr>
      <w:r>
        <w:rPr>
          <w:rFonts w:hint="eastAsia" w:ascii="宋体" w:hAnsi="宋体" w:cs="宋体"/>
          <w:color w:val="000000"/>
          <w:sz w:val="24"/>
          <w:szCs w:val="24"/>
          <w:highlight w:val="none"/>
        </w:rPr>
        <w:t xml:space="preserve">账    号：</w:t>
      </w:r>
      <w:r>
        <w:rPr>
          <w:rFonts w:hint="eastAsia" w:ascii="宋体" w:hAnsi="宋体" w:eastAsia="宋体" w:cs="宋体"/>
          <w:color w:val="000000"/>
          <w:sz w:val="24"/>
          <w:szCs w:val="24"/>
        </w:rPr>
        <w:t xml:space="preserve">0706678011120100412661</w:t>
      </w:r>
      <w:r/>
    </w:p>
    <w:p>
      <w:pPr>
        <w:ind w:firstLine="482"/>
        <w:jc w:val="both"/>
        <w:keepLines w:val="0"/>
        <w:keepNext w:val="0"/>
        <w:pageBreakBefore w:val="0"/>
        <w:spacing w:line="400" w:lineRule="exact"/>
        <w:rPr>
          <w:rFonts w:hint="eastAsia" w:ascii="宋体" w:hAnsi="宋体" w:cs="宋体"/>
          <w:color w:val="000000"/>
          <w:sz w:val="24"/>
          <w:szCs w:val="24"/>
          <w:highlight w:val="none"/>
        </w:rPr>
        <w:outlineLvl w:val="9"/>
      </w:pPr>
      <w:r>
        <w:rPr>
          <w:rFonts w:hint="eastAsia" w:ascii="宋体" w:hAnsi="宋体" w:cs="宋体"/>
          <w:b/>
          <w:bCs/>
          <w:color w:val="000000"/>
          <w:sz w:val="24"/>
          <w:szCs w:val="24"/>
          <w:highlight w:val="none"/>
        </w:rPr>
        <w:t xml:space="preserve">5.</w:t>
      </w:r>
      <w:r>
        <w:rPr>
          <w:rFonts w:hint="eastAsia" w:ascii="宋体" w:hAnsi="宋体" w:cs="宋体"/>
          <w:color w:val="000000"/>
          <w:sz w:val="24"/>
          <w:szCs w:val="24"/>
          <w:highlight w:val="none"/>
        </w:rPr>
        <w:t xml:space="preserve">磋商文件的约束力</w:t>
      </w:r>
      <w:r/>
    </w:p>
    <w:p>
      <w:pPr>
        <w:ind w:left="0" w:firstLine="0"/>
        <w:jc w:val="both"/>
        <w:keepLines w:val="0"/>
        <w:keepNext w:val="0"/>
        <w:pageBreakBefore w:val="0"/>
        <w:spacing w:line="400" w:lineRule="exact"/>
        <w:rPr>
          <w:rFonts w:hint="eastAsia" w:ascii="宋体" w:hAnsi="宋体" w:cs="宋体"/>
          <w:b/>
          <w:bCs/>
          <w:color w:val="000000"/>
          <w:sz w:val="24"/>
          <w:szCs w:val="24"/>
          <w:highlight w:val="none"/>
        </w:rPr>
        <w:outlineLvl w:val="9"/>
      </w:pPr>
      <w:r>
        <w:rPr>
          <w:rFonts w:hint="eastAsia" w:ascii="宋体" w:hAnsi="宋体" w:cs="宋体"/>
          <w:bCs/>
          <w:color w:val="000000"/>
          <w:sz w:val="24"/>
          <w:szCs w:val="24"/>
          <w:highlight w:val="none"/>
        </w:rPr>
        <w:t xml:space="preserve">    5.1</w:t>
      </w:r>
      <w:r>
        <w:rPr>
          <w:rFonts w:hint="eastAsia" w:ascii="宋体" w:hAnsi="宋体" w:cs="宋体"/>
          <w:color w:val="000000"/>
          <w:sz w:val="24"/>
          <w:szCs w:val="24"/>
          <w:highlight w:val="none"/>
        </w:rPr>
        <w:t xml:space="preserve">供应商一旦参加本项目采购活动，即被认为接受了本磋商文件</w:t>
      </w:r>
      <w:r>
        <w:rPr>
          <w:rFonts w:hint="eastAsia" w:ascii="宋体" w:hAnsi="宋体" w:cs="宋体"/>
          <w:color w:val="000000"/>
          <w:sz w:val="24"/>
          <w:highlight w:val="none"/>
        </w:rPr>
        <w:t xml:space="preserve">的规定和约束。</w:t>
      </w:r>
      <w:bookmarkStart w:id="35" w:name="_Toc16938525"/>
      <w:r/>
      <w:bookmarkStart w:id="36" w:name="_Toc120614215"/>
      <w:r/>
      <w:bookmarkStart w:id="37" w:name="_Toc513029209"/>
      <w:r/>
      <w:bookmarkStart w:id="38" w:name="_Toc20823281"/>
      <w:r>
        <w:rPr>
          <w:rFonts w:hint="eastAsia" w:ascii="宋体" w:hAnsi="宋体" w:cs="宋体"/>
          <w:b/>
          <w:bCs/>
          <w:color w:val="000000"/>
          <w:sz w:val="24"/>
          <w:highlight w:val="none"/>
        </w:rPr>
      </w:r>
      <w:r>
        <w:rPr>
          <w:rFonts w:hint="eastAsia" w:ascii="宋体" w:hAnsi="宋体" w:cs="宋体"/>
          <w:b/>
          <w:bCs/>
          <w:color w:val="000000"/>
          <w:sz w:val="24"/>
          <w:highlight w:val="none"/>
        </w:rPr>
      </w:r>
    </w:p>
    <w:p>
      <w:pPr>
        <w:ind w:left="0" w:firstLine="0"/>
        <w:jc w:val="both"/>
        <w:keepLines w:val="0"/>
        <w:keepNext w:val="0"/>
        <w:pageBreakBefore w:val="0"/>
        <w:spacing w:line="400" w:lineRule="exact"/>
        <w:rPr>
          <w:rFonts w:hint="eastAsia" w:ascii="宋体" w:hAnsi="宋体" w:cs="宋体"/>
          <w:b/>
          <w:bCs/>
          <w:color w:val="000000"/>
          <w:sz w:val="24"/>
          <w:szCs w:val="24"/>
          <w:highlight w:val="none"/>
        </w:rPr>
        <w:outlineLvl w:val="9"/>
      </w:pPr>
      <w:r>
        <w:rPr>
          <w:rFonts w:hint="eastAsia" w:ascii="宋体" w:hAnsi="宋体" w:cs="宋体"/>
          <w:b/>
          <w:bCs/>
          <w:color w:val="000000"/>
          <w:sz w:val="24"/>
          <w:highlight w:val="none"/>
        </w:rPr>
        <w:t xml:space="preserve">    二、</w:t>
      </w:r>
      <w:bookmarkEnd w:id="35"/>
      <w:r/>
      <w:bookmarkEnd w:id="36"/>
      <w:r/>
      <w:bookmarkEnd w:id="37"/>
      <w:r/>
      <w:bookmarkEnd w:id="38"/>
      <w:r>
        <w:rPr>
          <w:rFonts w:hint="eastAsia" w:ascii="宋体" w:hAnsi="宋体" w:cs="宋体"/>
          <w:b/>
          <w:bCs/>
          <w:color w:val="000000"/>
          <w:sz w:val="24"/>
          <w:highlight w:val="none"/>
        </w:rPr>
        <w:t xml:space="preserve">磋商文件</w:t>
      </w:r>
      <w:bookmarkStart w:id="39" w:name="_Toc513029210"/>
      <w:r/>
      <w:bookmarkStart w:id="40" w:name="_Toc20823282"/>
      <w:r/>
      <w:bookmarkStart w:id="41" w:name="_Toc16938526"/>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6.磋商文件构成</w:t>
      </w:r>
      <w:bookmarkEnd w:id="39"/>
      <w:r/>
      <w:bookmarkEnd w:id="40"/>
      <w:r/>
      <w:bookmarkEnd w:id="41"/>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6.1.1磋商邀请</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6.1.2供应商须知</w:t>
      </w:r>
      <w:r/>
    </w:p>
    <w:p>
      <w:pPr>
        <w:ind w:left="479" w:firstLine="0"/>
        <w:jc w:val="both"/>
        <w:keepLines w:val="0"/>
        <w:keepNext w:val="0"/>
        <w:pageBreakBefore w:val="0"/>
        <w:spacing w:line="400" w:lineRule="exact"/>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p>
    <w:p>
      <w:pPr>
        <w:ind w:left="479" w:firstLine="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6.1.4磋商成交原则和评审办法</w:t>
      </w:r>
      <w:r/>
    </w:p>
    <w:p>
      <w:pPr>
        <w:ind w:left="479" w:firstLine="0"/>
        <w:jc w:val="both"/>
        <w:keepLines w:val="0"/>
        <w:keepNext w:val="0"/>
        <w:pageBreakBefore w:val="0"/>
        <w:spacing w:line="400" w:lineRule="exact"/>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p>
    <w:p>
      <w:pPr>
        <w:ind w:firstLine="480"/>
        <w:jc w:val="both"/>
        <w:keepLines w:val="0"/>
        <w:keepNext w:val="0"/>
        <w:pageBreakBefore w:val="0"/>
        <w:spacing w:line="40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42" w:name="_Toc16938527"/>
      <w:r/>
      <w:bookmarkStart w:id="43" w:name="_Toc20823283"/>
      <w:r/>
      <w:bookmarkStart w:id="44" w:name="_Toc462564070"/>
      <w:r/>
      <w:bookmarkStart w:id="45" w:name="_Toc513029211"/>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7.磋商文件的澄清</w:t>
      </w:r>
      <w:bookmarkEnd w:id="42"/>
      <w:r/>
      <w:bookmarkEnd w:id="43"/>
      <w:r/>
      <w:bookmarkEnd w:id="44"/>
      <w:r/>
      <w:bookmarkEnd w:id="45"/>
      <w:r/>
      <w:r/>
    </w:p>
    <w:p>
      <w:pPr>
        <w:ind w:firstLine="480"/>
        <w:jc w:val="both"/>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46" w:name="_Toc513029212"/>
      <w:r/>
      <w:bookmarkStart w:id="47" w:name="_Toc16938528"/>
      <w:r/>
      <w:bookmarkStart w:id="48" w:name="_Toc20823284"/>
      <w:r/>
      <w:bookmarkStart w:id="49" w:name="_Toc462564071"/>
      <w:r>
        <w:rPr>
          <w:rFonts w:hint="eastAsia" w:ascii="宋体" w:hAnsi="宋体" w:cs="宋体"/>
          <w:color w:val="000000"/>
          <w:sz w:val="24"/>
          <w:highlight w:val="none"/>
        </w:rPr>
        <w:t xml:space="preserve">8.磋商文件的澄清和修改</w:t>
      </w:r>
      <w:bookmarkEnd w:id="46"/>
      <w:r/>
      <w:bookmarkEnd w:id="47"/>
      <w:r/>
      <w:bookmarkEnd w:id="48"/>
      <w:r/>
      <w:bookmarkEnd w:id="49"/>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20823285"/>
      <w:r/>
      <w:bookmarkStart w:id="51" w:name="_Toc16938529"/>
      <w:r/>
      <w:bookmarkStart w:id="52" w:name="_Toc513029213"/>
      <w:r/>
      <w:bookmarkStart w:id="53" w:name="_Toc462564072"/>
      <w:r/>
      <w:bookmarkStart w:id="54" w:name="_Toc120614216"/>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p>
    <w:p>
      <w:pPr>
        <w:ind w:firstLine="482"/>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
    </w:p>
    <w:p>
      <w:pPr>
        <w:ind w:firstLine="480"/>
        <w:keepLines/>
        <w:keepNext/>
        <w:pageBreakBefore w:val="0"/>
        <w:spacing w:line="400" w:lineRule="exact"/>
        <w:widowControl w:val="off"/>
        <w:rPr>
          <w:rFonts w:hint="eastAsia" w:ascii="宋体" w:hAnsi="宋体" w:cs="宋体"/>
          <w:b/>
          <w:color w:val="000000"/>
          <w:sz w:val="24"/>
          <w:highlight w:val="none"/>
        </w:rPr>
        <w:outlineLvl w:val="3"/>
      </w:pPr>
      <w:r/>
      <w:bookmarkStart w:id="55" w:name="_Toc20823286"/>
      <w:r/>
      <w:bookmarkStart w:id="56" w:name="_Toc16938530"/>
      <w:r/>
      <w:bookmarkStart w:id="57" w:name="_Toc462564073"/>
      <w:r/>
      <w:bookmarkStart w:id="58" w:name="_Toc513029214"/>
      <w:r>
        <w:rPr>
          <w:rFonts w:hint="eastAsia" w:ascii="宋体" w:hAnsi="宋体" w:cs="宋体"/>
          <w:color w:val="000000"/>
          <w:sz w:val="24"/>
          <w:highlight w:val="none"/>
        </w:rPr>
        <w:t xml:space="preserve">9.响应文件的语言及度量衡单位</w:t>
      </w:r>
      <w:bookmarkEnd w:id="55"/>
      <w:r/>
      <w:bookmarkEnd w:id="56"/>
      <w:r/>
      <w:bookmarkEnd w:id="57"/>
      <w:r/>
      <w:bookmarkEnd w:id="58"/>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p>
    <w:p>
      <w:pPr>
        <w:ind w:firstLine="48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59" w:name="_Toc513029215"/>
      <w:r/>
      <w:bookmarkStart w:id="60" w:name="_Toc462564074"/>
      <w:r/>
      <w:bookmarkStart w:id="61" w:name="_Toc16938531"/>
      <w:r/>
      <w:bookmarkStart w:id="62" w:name="_Toc20823287"/>
      <w:r>
        <w:rPr>
          <w:rFonts w:hint="eastAsia" w:ascii="宋体" w:hAnsi="宋体" w:cs="宋体"/>
          <w:color w:val="000000"/>
          <w:sz w:val="24"/>
          <w:highlight w:val="none"/>
        </w:rPr>
        <w:t xml:space="preserve">10.响应文件构成</w:t>
      </w:r>
      <w:bookmarkEnd w:id="59"/>
      <w:r/>
      <w:bookmarkEnd w:id="60"/>
      <w:r/>
      <w:bookmarkEnd w:id="61"/>
      <w:r/>
      <w:bookmarkEnd w:id="62"/>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p>
    <w:p>
      <w:pPr>
        <w:pStyle w:val="902"/>
        <w:ind w:firstLine="482"/>
        <w:pageBreakBefore w:val="0"/>
        <w:spacing w:line="400" w:lineRule="exact"/>
        <w:widowControl w:val="off"/>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10.4.1.2具有良好的商业信誉和健全的财务会计制度。提供最近一期（2024年度）经审计的财务报告或最近一期的财务报表，或银行出具的资信证明，或财政部门认可的政府采购专业担保机构出具的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p>
    <w:p>
      <w:pPr>
        <w:pStyle w:val="902"/>
        <w:ind w:firstLine="480"/>
        <w:pageBreakBefore w:val="0"/>
        <w:spacing w:line="400" w:lineRule="exact"/>
        <w:widowControl w:val="off"/>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p>
    <w:p>
      <w:pPr>
        <w:pStyle w:val="902"/>
        <w:ind w:firstLine="48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p>
    <w:p>
      <w:pPr>
        <w:pStyle w:val="902"/>
        <w:ind w:firstLine="480"/>
        <w:pageBreakBefore w:val="0"/>
        <w:spacing w:line="400" w:lineRule="exact"/>
        <w:widowControl w:val="off"/>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p>
    <w:p>
      <w:pPr>
        <w:pStyle w:val="902"/>
        <w:ind w:firstLine="48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6.2针对本项目的人员配置情况；</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6.3针对本项目的设备配置情况；</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p>
    <w:p>
      <w:pPr>
        <w:pStyle w:val="902"/>
        <w:ind w:firstLine="482"/>
        <w:pageBreakBefore w:val="0"/>
        <w:spacing w:line="400" w:lineRule="exact"/>
        <w:widowControl w:val="off"/>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02"/>
        <w:ind w:firstLine="482"/>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p>
    <w:p>
      <w:pPr>
        <w:ind w:firstLine="482"/>
        <w:pageBreakBefore w:val="0"/>
        <w:spacing w:line="400" w:lineRule="exact"/>
        <w:widowControl w:val="off"/>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p>
    <w:p>
      <w:pPr>
        <w:ind w:firstLine="480"/>
        <w:pageBreakBefore w:val="0"/>
        <w:spacing w:line="400" w:lineRule="exact"/>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如标书制作工具中格式和内容与“江苏省政府采购网、苏州市政府采购网”发布的磋商文件不一致，请以“江苏省政府采购网、苏州市政府采购网”发布的磋商文件为准。</w:t>
      </w:r>
      <w:r/>
    </w:p>
    <w:p>
      <w:pPr>
        <w:ind w:firstLine="48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63" w:name="_Hlt26668975"/>
      <w:r/>
      <w:bookmarkEnd w:id="63"/>
      <w:r/>
      <w:bookmarkStart w:id="64" w:name="_Hlt26670360"/>
      <w:r/>
      <w:bookmarkEnd w:id="64"/>
      <w:r/>
      <w:bookmarkStart w:id="65" w:name="_Hlt26954838"/>
      <w:r/>
      <w:bookmarkEnd w:id="65"/>
      <w:r/>
      <w:bookmarkStart w:id="66" w:name="_Toc49090509"/>
      <w:r/>
      <w:bookmarkStart w:id="67" w:name="_Toc14577357"/>
      <w:r/>
      <w:bookmarkStart w:id="68" w:name="_Toc513029219"/>
      <w:r/>
      <w:bookmarkStart w:id="69" w:name="_Toc14577354"/>
      <w:r/>
      <w:bookmarkStart w:id="70" w:name="_Toc513029216"/>
      <w:r/>
      <w:bookmarkStart w:id="71" w:name="_Toc49090507"/>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bookmarkEnd w:id="69"/>
      <w:r/>
      <w:bookmarkEnd w:id="70"/>
      <w:r/>
      <w:bookmarkEnd w:id="71"/>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11.1供应商应按照磋商文件要求提交证明文件，证明其及磋商响应标的符合磋商文件规定。</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bookmarkEnd w:id="72"/>
      <w:r/>
      <w:bookmarkEnd w:id="73"/>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12.分项报价表</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74" w:name="_Hlt26670486"/>
      <w:r/>
      <w:bookmarkEnd w:id="74"/>
      <w:r/>
      <w:bookmarkStart w:id="75" w:name="_Hlt26954848"/>
      <w:r/>
      <w:bookmarkEnd w:id="75"/>
      <w:r/>
      <w:bookmarkStart w:id="76" w:name="_Hlt26954731"/>
      <w:r/>
      <w:bookmarkEnd w:id="76"/>
      <w:r/>
      <w:bookmarkStart w:id="77" w:name="_Hlt26670482"/>
      <w:r/>
      <w:bookmarkEnd w:id="77"/>
      <w:r/>
      <w:bookmarkStart w:id="78" w:name="_Hlt26954846"/>
      <w:r/>
      <w:bookmarkEnd w:id="78"/>
      <w:r>
        <w:rPr>
          <w:rFonts w:hint="eastAsia" w:ascii="宋体" w:hAnsi="宋体" w:cs="宋体"/>
          <w:color w:val="000000"/>
          <w:sz w:val="24"/>
          <w:highlight w:val="none"/>
        </w:rPr>
        <w:t xml:space="preserve">13.技术偏离表、商务偏离表</w:t>
      </w:r>
      <w:r/>
    </w:p>
    <w:p>
      <w:pPr>
        <w:ind w:firstLine="480"/>
        <w:pageBreakBefore w:val="0"/>
        <w:spacing w:line="400" w:lineRule="exact"/>
        <w:widowControl w:val="off"/>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p>
    <w:p>
      <w:pPr>
        <w:ind w:firstLine="480"/>
        <w:pageBreakBefore w:val="0"/>
        <w:spacing w:line="400" w:lineRule="exact"/>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bookmarkEnd w:id="79"/>
      <w:r/>
      <w:bookmarkEnd w:id="80"/>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16938540"/>
      <w:r/>
      <w:bookmarkStart w:id="86" w:name="_Toc20823296"/>
      <w:r/>
      <w:bookmarkStart w:id="87" w:name="_Toc120614217"/>
      <w:r/>
      <w:bookmarkStart w:id="88" w:name="_Toc513029224"/>
      <w:r>
        <w:rPr>
          <w:rFonts w:hint="eastAsia" w:ascii="宋体" w:hAnsi="宋体" w:cs="宋体"/>
          <w:b/>
          <w:bCs/>
          <w:color w:val="000000"/>
          <w:sz w:val="24"/>
          <w:highlight w:val="none"/>
        </w:rPr>
        <w:t xml:space="preserve">四、响应文件的递交</w:t>
      </w:r>
      <w:bookmarkEnd w:id="85"/>
      <w:r/>
      <w:bookmarkEnd w:id="86"/>
      <w:r/>
      <w:bookmarkEnd w:id="87"/>
      <w:r/>
      <w:bookmarkEnd w:id="88"/>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89" w:name="_Toc16938541"/>
      <w:r/>
      <w:bookmarkStart w:id="90" w:name="_Toc20823297"/>
      <w:r/>
      <w:bookmarkStart w:id="91" w:name="_Toc513029225"/>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16938542"/>
      <w:r/>
      <w:bookmarkStart w:id="95" w:name="_Toc20823298"/>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
    </w:p>
    <w:p>
      <w:pPr>
        <w:ind w:firstLine="480"/>
        <w:pageBreakBefore w:val="0"/>
        <w:spacing w:line="400" w:lineRule="exact"/>
        <w:widowControl w:val="off"/>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96" w:name="_Toc513029227"/>
      <w:r/>
      <w:bookmarkStart w:id="97" w:name="_Toc16938543"/>
      <w:r/>
      <w:bookmarkStart w:id="98" w:name="_Toc20823299"/>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20.1采购代理机构拒绝接收在其规定的提交响应文件截止时间后上传的任何电子响应文件。</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21.1.1电子响应文件的撤回</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在提交响应文件截止时间之后，供应商不得对其电子响应文件作任何修改。</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02" w:name="_Toc20823301"/>
      <w:r/>
      <w:bookmarkStart w:id="103" w:name="_Toc120614218"/>
      <w:r/>
      <w:bookmarkStart w:id="104" w:name="_Toc513029229"/>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06" w:name="_Toc513029230"/>
      <w:r/>
      <w:bookmarkStart w:id="107" w:name="_Toc20823302"/>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09" w:name="_Toc20823303"/>
      <w:r/>
      <w:bookmarkStart w:id="110" w:name="_Toc513029231"/>
      <w:r/>
      <w:bookmarkStart w:id="111" w:name="_Toc16938547"/>
      <w:r>
        <w:rPr>
          <w:rFonts w:hint="eastAsia" w:ascii="宋体" w:hAnsi="宋体" w:cs="宋体"/>
          <w:color w:val="000000"/>
          <w:sz w:val="24"/>
          <w:highlight w:val="none"/>
        </w:rPr>
        <w:t xml:space="preserve">23.磋商小组</w:t>
      </w:r>
      <w:r/>
    </w:p>
    <w:p>
      <w:pPr>
        <w:ind w:firstLine="480"/>
        <w:pageBreakBefore w:val="0"/>
        <w:spacing w:line="400" w:lineRule="exact"/>
        <w:widowControl w:val="off"/>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bookmarkEnd w:id="109"/>
      <w:r/>
      <w:bookmarkEnd w:id="110"/>
      <w:r/>
      <w:bookmarkEnd w:id="111"/>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12" w:name="_Toc16938548"/>
      <w:r/>
      <w:bookmarkStart w:id="113" w:name="_Toc20823304"/>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bookmarkStart w:id="115" w:name="_Toc20823305"/>
      <w:r/>
      <w:bookmarkStart w:id="116" w:name="_Toc513029233"/>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26.1.3 </w:t>
      </w:r>
      <w:r>
        <w:rPr>
          <w:rFonts w:hint="eastAsia" w:ascii="宋体" w:hAnsi="宋体" w:cs="宋体"/>
          <w:b/>
          <w:bCs w:val="0"/>
          <w:color w:val="000000"/>
          <w:sz w:val="24"/>
          <w:highlight w:val="none"/>
        </w:rPr>
        <w:t xml:space="preserve">未通过资格审查或符合性审查的供应商</w:t>
      </w:r>
      <w:r>
        <w:rPr>
          <w:rFonts w:hint="eastAsia" w:ascii="宋体" w:hAnsi="宋体" w:cs="宋体"/>
          <w:bCs/>
          <w:color w:val="000000"/>
          <w:sz w:val="24"/>
          <w:highlight w:val="none"/>
        </w:rPr>
        <w:t xml:space="preserve">，磋商小组将在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p>
    <w:p>
      <w:pPr>
        <w:ind w:firstLine="480"/>
        <w:pageBreakBefore w:val="0"/>
        <w:spacing w:line="400" w:lineRule="exact"/>
        <w:widowControl w:val="off"/>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p>
    <w:p>
      <w:pPr>
        <w:ind w:firstLine="482"/>
        <w:pageBreakBefore w:val="0"/>
        <w:spacing w:line="400" w:lineRule="exact"/>
        <w:widowControl w:val="off"/>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p>
    <w:p>
      <w:pPr>
        <w:ind w:firstLine="482"/>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2"/>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482"/>
        <w:pageBreakBefore w:val="0"/>
        <w:spacing w:line="400" w:lineRule="exact"/>
        <w:widowControl w:val="off"/>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00" w:lineRule="exact"/>
        <w:widowControl w:val="off"/>
        <w:rPr>
          <w:rFonts w:hint="eastAsia" w:ascii="宋体" w:hAnsi="宋体" w:cs="宋体"/>
          <w:color w:val="000000"/>
          <w:sz w:val="24"/>
          <w:highlight w:val="none"/>
        </w:rPr>
      </w:pPr>
      <w:r/>
      <w:bookmarkStart w:id="118" w:name="_Toc16938550"/>
      <w:r/>
      <w:bookmarkStart w:id="119" w:name="_Toc513029234"/>
      <w:r/>
      <w:bookmarkStart w:id="120" w:name="_Toc20823306"/>
      <w:r>
        <w:rPr>
          <w:rFonts w:hint="eastAsia" w:ascii="宋体" w:hAnsi="宋体" w:cs="宋体"/>
          <w:color w:val="000000"/>
          <w:sz w:val="24"/>
          <w:highlight w:val="none"/>
        </w:rPr>
        <w:t xml:space="preserve">26.6供应商在项目评审全过程中应保持通讯畅通，并安排专人与采购代理机构及磋商小组联系。</w:t>
      </w:r>
      <w:r/>
    </w:p>
    <w:p>
      <w:pPr>
        <w:ind w:firstLine="482"/>
        <w:pageBreakBefore w:val="0"/>
        <w:spacing w:line="400" w:lineRule="exact"/>
        <w:widowControl w:val="off"/>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〔2025〕62号《关于推动解决政府采购异常低价问题相关工作的通知》，评审过程中出现下列情形之一的，评审委员会应当启动异常低价投标（响应）审查程序：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p>
    <w:p>
      <w:pPr>
        <w:ind w:firstLine="482"/>
        <w:pageBreakBefore w:val="0"/>
        <w:spacing w:line="400" w:lineRule="exact"/>
        <w:widowControl w:val="off"/>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p>
    <w:p>
      <w:pPr>
        <w:pStyle w:val="924"/>
        <w:ind w:firstLine="482"/>
        <w:jc w:val="both"/>
        <w:pageBreakBefore w:val="0"/>
        <w:spacing w:line="400" w:lineRule="exact"/>
        <w:widowControl w:val="off"/>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2"/>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p>
    <w:p>
      <w:pPr>
        <w:pStyle w:val="902"/>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21" w:name="_Toc513029235"/>
      <w:r/>
      <w:bookmarkStart w:id="122" w:name="_Toc20823307"/>
      <w:r/>
      <w:bookmarkStart w:id="123" w:name="_Toc120614219"/>
      <w:r/>
      <w:bookmarkStart w:id="124" w:name="_Toc16938551"/>
      <w:r>
        <w:rPr>
          <w:rFonts w:hint="eastAsia" w:ascii="宋体" w:hAnsi="宋体" w:cs="宋体"/>
          <w:b/>
          <w:bCs/>
          <w:color w:val="000000"/>
          <w:sz w:val="24"/>
          <w:highlight w:val="none"/>
        </w:rPr>
        <w:t xml:space="preserve">六、</w:t>
      </w:r>
      <w:bookmarkEnd w:id="121"/>
      <w:r/>
      <w:bookmarkEnd w:id="122"/>
      <w:r/>
      <w:bookmarkEnd w:id="123"/>
      <w:r/>
      <w:bookmarkEnd w:id="124"/>
      <w:r>
        <w:rPr>
          <w:rFonts w:hint="eastAsia" w:ascii="宋体" w:hAnsi="宋体" w:cs="宋体"/>
          <w:b/>
          <w:bCs/>
          <w:color w:val="000000"/>
          <w:sz w:val="24"/>
          <w:highlight w:val="none"/>
        </w:rPr>
        <w:t xml:space="preserve">成交</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25" w:name="_Toc513029238"/>
      <w:r/>
      <w:bookmarkStart w:id="126" w:name="_Toc20823310"/>
      <w:r/>
      <w:bookmarkStart w:id="127" w:name="_Toc16938554"/>
      <w:r>
        <w:rPr>
          <w:rFonts w:hint="eastAsia" w:ascii="宋体" w:hAnsi="宋体" w:cs="宋体"/>
          <w:bCs/>
          <w:color w:val="000000"/>
          <w:sz w:val="24"/>
          <w:highlight w:val="none"/>
        </w:rPr>
        <w:t xml:space="preserve">2</w:t>
      </w:r>
      <w:bookmarkEnd w:id="125"/>
      <w:r>
        <w:rPr>
          <w:rFonts w:hint="eastAsia" w:ascii="宋体" w:hAnsi="宋体" w:cs="宋体"/>
          <w:bCs/>
          <w:color w:val="000000"/>
          <w:sz w:val="24"/>
          <w:highlight w:val="none"/>
        </w:rPr>
        <w:t xml:space="preserve">8.确定</w:t>
      </w:r>
      <w:bookmarkEnd w:id="126"/>
      <w:r/>
      <w:bookmarkEnd w:id="127"/>
      <w:r>
        <w:rPr>
          <w:rFonts w:hint="eastAsia" w:ascii="宋体" w:hAnsi="宋体" w:cs="宋体"/>
          <w:bCs/>
          <w:color w:val="000000"/>
          <w:sz w:val="24"/>
          <w:highlight w:val="none"/>
        </w:rPr>
        <w:t xml:space="preserve">成交单位</w:t>
      </w:r>
      <w:r/>
    </w:p>
    <w:p>
      <w:pPr>
        <w:ind w:firstLine="480"/>
        <w:pageBreakBefore w:val="0"/>
        <w:spacing w:line="400" w:lineRule="exact"/>
        <w:widowControl w:val="off"/>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p>
    <w:p>
      <w:pPr>
        <w:ind w:firstLine="48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28" w:name="_Toc200451960"/>
      <w:r>
        <w:rPr>
          <w:rFonts w:hint="eastAsia" w:ascii="宋体" w:hAnsi="宋体" w:cs="宋体"/>
          <w:bCs/>
          <w:color w:val="000000"/>
          <w:sz w:val="24"/>
          <w:highlight w:val="none"/>
        </w:rPr>
        <w:t xml:space="preserve">29.质疑处理</w:t>
      </w:r>
      <w:bookmarkEnd w:id="128"/>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p>
    <w:p>
      <w:pPr>
        <w:pStyle w:val="902"/>
        <w:ind w:firstLine="482"/>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p>
    <w:p>
      <w:pPr>
        <w:pStyle w:val="902"/>
        <w:ind w:firstLine="480"/>
        <w:pageBreakBefore w:val="0"/>
        <w:spacing w:line="40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p>
    <w:p>
      <w:pPr>
        <w:pStyle w:val="902"/>
        <w:ind w:firstLine="48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王剑峰</w:t>
      </w:r>
      <w:r/>
    </w:p>
    <w:p>
      <w:pPr>
        <w:pStyle w:val="90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w:t>
      </w:r>
      <w:r>
        <w:rPr>
          <w:rFonts w:hint="eastAsia" w:ascii="宋体" w:hAnsi="宋体" w:cs="宋体"/>
          <w:color w:val="000000"/>
          <w:sz w:val="24"/>
          <w:szCs w:val="24"/>
          <w:highlight w:val="none"/>
          <w:lang w:val="en-US" w:eastAsia="zh-CN"/>
        </w:rPr>
        <w:t xml:space="preserve">488128</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w:t>
      </w:r>
      <w:r>
        <w:rPr>
          <w:rFonts w:hint="eastAsia" w:ascii="宋体" w:hAnsi="宋体" w:cs="宋体"/>
          <w:color w:val="000000"/>
          <w:sz w:val="24"/>
          <w:highlight w:val="none"/>
          <w:shd w:val="clear" w:color="auto" w:fill="ffffff"/>
          <w:lang w:val="en-US" w:eastAsia="zh-CN"/>
        </w:rPr>
        <w:t xml:space="preserve">体育路988号科建大厦204</w:t>
      </w:r>
      <w:r/>
    </w:p>
    <w:p>
      <w:pPr>
        <w:pStyle w:val="902"/>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highlight w:val="none"/>
          <w:shd w:val="clear" w:color="auto" w:fill="ffffff"/>
          <w:lang w:eastAsia="zh-CN"/>
        </w:rPr>
        <w:t xml:space="preserve">苏州市吴江区</w:t>
      </w:r>
      <w:r>
        <w:rPr>
          <w:rFonts w:hint="eastAsia" w:ascii="宋体" w:hAnsi="宋体" w:cs="宋体"/>
          <w:color w:val="000000"/>
          <w:sz w:val="24"/>
          <w:highlight w:val="none"/>
          <w:shd w:val="clear" w:color="auto" w:fill="ffffff"/>
          <w:lang w:val="en-US" w:eastAsia="zh-CN"/>
        </w:rPr>
        <w:t xml:space="preserve">体育路988号科建大厦204</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400" w:lineRule="exact"/>
        <w:widowControl w:val="off"/>
        <w:rPr>
          <w:rFonts w:hint="eastAsia" w:ascii="宋体" w:hAnsi="宋体" w:cs="宋体"/>
          <w:b/>
          <w:bCs/>
          <w:color w:val="000000"/>
          <w:sz w:val="24"/>
          <w:highlight w:val="none"/>
        </w:rPr>
        <w:outlineLvl w:val="2"/>
      </w:pPr>
      <w:r/>
      <w:bookmarkStart w:id="129" w:name="_Toc120614220"/>
      <w:r/>
      <w:bookmarkStart w:id="130" w:name="_Toc16938552"/>
      <w:r/>
      <w:bookmarkStart w:id="131" w:name="_Toc513029236"/>
      <w:r/>
      <w:bookmarkStart w:id="132" w:name="_Toc20823308"/>
      <w:r>
        <w:rPr>
          <w:rFonts w:hint="eastAsia" w:ascii="宋体" w:hAnsi="宋体" w:cs="宋体"/>
          <w:b/>
          <w:bCs/>
          <w:color w:val="000000"/>
          <w:sz w:val="24"/>
          <w:highlight w:val="none"/>
        </w:rPr>
        <w:t xml:space="preserve">七、授予合同</w:t>
      </w:r>
      <w:bookmarkEnd w:id="129"/>
      <w:r/>
      <w:bookmarkEnd w:id="130"/>
      <w:r/>
      <w:bookmarkEnd w:id="131"/>
      <w:r/>
      <w:bookmarkEnd w:id="132"/>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bookmarkStart w:id="133" w:name="_Toc16938553"/>
      <w:r/>
      <w:bookmarkStart w:id="134" w:name="_Toc20823309"/>
      <w:r/>
      <w:bookmarkStart w:id="135" w:name="_Toc513029237"/>
      <w:r>
        <w:rPr>
          <w:rFonts w:hint="eastAsia" w:ascii="宋体" w:hAnsi="宋体" w:cs="宋体"/>
          <w:bCs/>
          <w:color w:val="000000"/>
          <w:sz w:val="24"/>
          <w:highlight w:val="none"/>
        </w:rPr>
        <w:t xml:space="preserve">31. 签订合同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31.3签订合同后，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p>
    <w:p>
      <w:pPr>
        <w:ind w:firstLine="48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r/>
      <w:bookmarkEnd w:id="134"/>
      <w:r/>
      <w:bookmarkEnd w:id="135"/>
      <w:r/>
      <w:r/>
    </w:p>
    <w:p>
      <w:pPr>
        <w:ind w:firstLine="480"/>
        <w:keepLines/>
        <w:keepNext/>
        <w:pageBreakBefore w:val="0"/>
        <w:spacing w:line="400" w:lineRule="exact"/>
        <w:widowControl w:val="off"/>
        <w:rPr>
          <w:rFonts w:hint="eastAsia" w:ascii="宋体" w:hAnsi="宋体" w:cs="宋体"/>
          <w:color w:val="000000"/>
          <w:sz w:val="24"/>
          <w:highlight w:val="none"/>
        </w:rPr>
        <w:outlineLvl w:val="3"/>
      </w:pPr>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p>
    <w:p>
      <w:pPr>
        <w:ind w:firstLine="480"/>
        <w:pageBreakBefore w:val="0"/>
        <w:spacing w:line="400" w:lineRule="exact"/>
        <w:widowControl w:val="off"/>
        <w:rPr>
          <w:rFonts w:hint="eastAsia" w:ascii="宋体" w:hAnsi="宋体" w:cs="宋体"/>
          <w:color w:val="000000"/>
          <w:sz w:val="24"/>
          <w:highlight w:val="white"/>
        </w:rPr>
      </w:pPr>
      <w:r>
        <w:rPr>
          <w:rFonts w:hint="eastAsia" w:ascii="宋体" w:hAnsi="宋体" w:cs="宋体"/>
          <w:color w:val="000000"/>
          <w:sz w:val="24"/>
          <w:highlight w:val="white"/>
        </w:rPr>
        <w:t xml:space="preserve">33.1</w:t>
      </w:r>
      <w:r>
        <w:rPr>
          <w:rFonts w:ascii="Segoe UI" w:hAnsi="Segoe UI" w:eastAsia="Segoe UI" w:cs="Segoe UI"/>
          <w:b/>
          <w:bCs/>
          <w:i w:val="0"/>
          <w:iCs w:val="0"/>
          <w:caps w:val="0"/>
          <w:spacing w:val="0"/>
          <w:sz w:val="24"/>
          <w:szCs w:val="24"/>
          <w:highlight w:val="white"/>
          <w:shd w:val="clear" w:color="auto" w:fill="ffffff"/>
        </w:rPr>
        <w:t xml:space="preserve">《</w:t>
      </w:r>
      <w:r>
        <w:rPr>
          <w:rFonts w:ascii="Segoe UI" w:hAnsi="Segoe UI" w:eastAsia="Segoe UI" w:cs="Segoe UI"/>
          <w:b/>
          <w:bCs/>
          <w:i w:val="0"/>
          <w:iCs w:val="0"/>
          <w:caps w:val="0"/>
          <w:spacing w:val="0"/>
          <w:sz w:val="24"/>
          <w:szCs w:val="24"/>
          <w:highlight w:val="white"/>
          <w:shd w:val="clear" w:color="auto" w:fill="ffffff"/>
        </w:rPr>
        <w:t xml:space="preserve">国务院办公厅关于在政府采购中实施本国产品标准及相关政策的通知》（国办发〔2025〕34号）要求，采购人和采购代理机构应该在政府采购活动中严格实施本国产品价格评审优惠政策。</w:t>
      </w:r>
      <w:r>
        <w:rPr>
          <w:rFonts w:hint="eastAsia" w:ascii="宋体" w:hAnsi="宋体" w:cs="宋体"/>
          <w:color w:val="000000"/>
          <w:sz w:val="24"/>
          <w:highlight w:val="white"/>
        </w:rPr>
        <w:t xml:space="preserve">本项目为服务类，不适用该条。</w:t>
      </w:r>
      <w:r>
        <w:rPr>
          <w:highlight w:val="white"/>
        </w:rPr>
      </w:r>
    </w:p>
    <w:p>
      <w:pPr>
        <w:ind w:firstLine="480"/>
        <w:pageBreakBefore w:val="0"/>
        <w:spacing w:line="400" w:lineRule="exact"/>
        <w:widowControl w:val="off"/>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pageBreakBefore w:val="0"/>
        <w:spacing w:line="400" w:lineRule="exact"/>
        <w:widowControl w:val="off"/>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cs="宋体"/>
          <w:b/>
          <w:bCs/>
          <w:color w:val="000000"/>
          <w:sz w:val="24"/>
          <w:highlight w:val="none"/>
        </w:rPr>
        <w:t xml:space="preserve">。</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pageBreakBefore w:val="0"/>
        <w:spacing w:line="400" w:lineRule="exact"/>
        <w:widowControl w:val="off"/>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keepLines/>
        <w:keepNext/>
        <w:pageBreakBefore w:val="0"/>
        <w:spacing w:line="400" w:lineRule="exact"/>
        <w:widowControl w:val="off"/>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p>
    <w:p>
      <w:pPr>
        <w:ind w:firstLine="480"/>
        <w:keepLines/>
        <w:keepNext/>
        <w:pageBreakBefore w:val="0"/>
        <w:spacing w:line="400" w:lineRule="exact"/>
        <w:widowControl w:val="off"/>
        <w:rPr>
          <w:rFonts w:hint="eastAsia" w:ascii="宋体" w:hAnsi="宋体" w:cs="宋体"/>
          <w:b/>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20"/>
        <w:rPr>
          <w:rFonts w:hint="eastAsia"/>
        </w:rPr>
      </w:pPr>
      <w:r>
        <w:rPr>
          <w:rFonts w:hint="eastAsia"/>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26"/>
        <w:rPr>
          <w:rFonts w:hint="eastAsia"/>
        </w:rPr>
      </w:pPr>
      <w:r>
        <w:rPr>
          <w:rFonts w:hint="eastAsia"/>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keepLines w:val="0"/>
        <w:keepNext w:val="0"/>
        <w:pageBreakBefore w:val="0"/>
        <w:spacing w:line="360" w:lineRule="auto"/>
        <w:widowControl w:val="off"/>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p>
    <w:p>
      <w:pPr>
        <w:ind w:firstLine="48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苏州市吴江区人民政府松陵街道办事处</w:t>
      </w:r>
      <w:r>
        <w:rPr>
          <w:rFonts w:hint="eastAsia" w:ascii="宋体" w:hAnsi="宋体" w:eastAsia="宋体" w:cs="宋体"/>
          <w:color w:val="000000"/>
          <w:sz w:val="21"/>
          <w:szCs w:val="21"/>
          <w:highlight w:val="none"/>
        </w:rPr>
        <w:t xml:space="preserve">的委托，</w:t>
      </w:r>
      <w:r>
        <w:rPr>
          <w:rFonts w:hint="eastAsia" w:ascii="宋体" w:hAnsi="宋体" w:cs="宋体"/>
          <w:color w:val="000000"/>
          <w:sz w:val="21"/>
          <w:szCs w:val="21"/>
          <w:highlight w:val="none"/>
          <w:lang w:eastAsia="zh-CN"/>
        </w:rPr>
        <w:t xml:space="preserve">苏州建设工程招标代理有限公司</w:t>
      </w:r>
      <w:r>
        <w:rPr>
          <w:rFonts w:hint="eastAsia" w:ascii="宋体" w:hAnsi="宋体" w:eastAsia="宋体" w:cs="宋体"/>
          <w:color w:val="000000"/>
          <w:sz w:val="21"/>
          <w:szCs w:val="21"/>
          <w:highlight w:val="none"/>
        </w:rPr>
        <w:t xml:space="preserve">对其所需采购的</w:t>
      </w:r>
      <w:r>
        <w:rPr>
          <w:rFonts w:hint="eastAsia" w:ascii="宋体" w:hAnsi="宋体" w:cs="宋体"/>
          <w:color w:val="000000"/>
          <w:sz w:val="21"/>
          <w:szCs w:val="21"/>
          <w:highlight w:val="none"/>
          <w:lang w:eastAsia="zh-CN"/>
        </w:rPr>
        <w:t xml:space="preserve">松陵街道食堂服务外包项目</w:t>
      </w:r>
      <w:r>
        <w:rPr>
          <w:rFonts w:hint="eastAsia" w:ascii="宋体" w:hAnsi="宋体" w:eastAsia="宋体" w:cs="宋体"/>
          <w:color w:val="000000"/>
          <w:sz w:val="21"/>
          <w:szCs w:val="21"/>
          <w:highlight w:val="none"/>
        </w:rPr>
        <w:t xml:space="preserve">在国内组织竞争性磋商采购。欢迎符合磋商采购文件资格条件的各供应商前来参加磋商。</w:t>
      </w:r>
      <w:r/>
    </w:p>
    <w:p>
      <w:pPr>
        <w:ind w:firstLine="48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一、采购编号：</w:t>
      </w:r>
      <w:r>
        <w:rPr>
          <w:rFonts w:hint="eastAsia" w:ascii="宋体" w:hAnsi="宋体" w:cs="宋体"/>
          <w:b/>
          <w:color w:val="000000"/>
          <w:sz w:val="21"/>
          <w:szCs w:val="21"/>
          <w:highlight w:val="none"/>
          <w:lang w:eastAsia="zh-CN"/>
        </w:rPr>
        <w:t xml:space="preserve">JSZC-320509-SJZB-C2026-0001</w:t>
      </w:r>
      <w:r>
        <w:rPr>
          <w:rFonts w:hint="eastAsia" w:ascii="宋体" w:hAnsi="宋体" w:eastAsia="宋体" w:cs="宋体"/>
          <w:b/>
          <w:color w:val="000000"/>
          <w:sz w:val="21"/>
          <w:szCs w:val="21"/>
          <w:highlight w:val="none"/>
        </w:rPr>
        <w:t xml:space="preserve"> </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二、项目名称：</w:t>
      </w:r>
      <w:r>
        <w:rPr>
          <w:rFonts w:hint="eastAsia" w:ascii="宋体" w:hAnsi="宋体" w:cs="宋体"/>
          <w:b/>
          <w:color w:val="000000"/>
          <w:sz w:val="21"/>
          <w:szCs w:val="21"/>
          <w:highlight w:val="none"/>
          <w:lang w:eastAsia="zh-CN"/>
        </w:rPr>
        <w:t xml:space="preserve">松陵街道食堂服务外包项目</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三、★采购预算：</w:t>
      </w:r>
      <w:r>
        <w:rPr>
          <w:rFonts w:hint="eastAsia" w:ascii="宋体" w:hAnsi="宋体" w:eastAsia="宋体" w:cs="宋体"/>
          <w:b/>
          <w:color w:val="000000"/>
          <w:sz w:val="21"/>
          <w:szCs w:val="21"/>
          <w:highlight w:val="none"/>
          <w:lang w:eastAsia="zh-CN"/>
        </w:rPr>
        <w:t xml:space="preserve">人民币贰佰</w:t>
      </w:r>
      <w:r>
        <w:rPr>
          <w:rFonts w:hint="eastAsia" w:ascii="宋体" w:hAnsi="宋体" w:cs="宋体"/>
          <w:b/>
          <w:color w:val="000000"/>
          <w:sz w:val="21"/>
          <w:szCs w:val="21"/>
          <w:highlight w:val="none"/>
          <w:lang w:val="en-US" w:eastAsia="zh-CN"/>
        </w:rPr>
        <w:t xml:space="preserve">壹拾</w:t>
      </w:r>
      <w:r>
        <w:rPr>
          <w:rFonts w:hint="eastAsia" w:ascii="宋体" w:hAnsi="宋体" w:eastAsia="宋体" w:cs="宋体"/>
          <w:b/>
          <w:color w:val="000000"/>
          <w:sz w:val="21"/>
          <w:szCs w:val="21"/>
          <w:highlight w:val="none"/>
          <w:lang w:eastAsia="zh-CN"/>
        </w:rPr>
        <w:t xml:space="preserve">伍万圆整（￥：2</w:t>
      </w:r>
      <w:r>
        <w:rPr>
          <w:rFonts w:hint="eastAsia" w:ascii="宋体" w:hAnsi="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eastAsia="zh-CN"/>
        </w:rPr>
        <w:t xml:space="preserve">5</w:t>
      </w:r>
      <w:r>
        <w:rPr>
          <w:rFonts w:hint="eastAsia" w:ascii="宋体" w:hAnsi="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lang w:eastAsia="zh-CN"/>
        </w:rPr>
        <w:t xml:space="preserve">000.00）</w:t>
      </w:r>
      <w:r/>
    </w:p>
    <w:p>
      <w:pPr>
        <w:ind w:firstLine="482"/>
        <w:keepLines w:val="0"/>
        <w:keepNext w:val="0"/>
        <w:pageBreakBefore w:val="0"/>
        <w:spacing w:line="360" w:lineRule="auto"/>
        <w:widowControl/>
        <w:rPr>
          <w:b/>
          <w:bCs w:val="0"/>
          <w:sz w:val="21"/>
          <w:szCs w:val="21"/>
          <w:lang w:val="en-US" w:eastAsia="zh-CN"/>
        </w:rPr>
      </w:pPr>
      <w:r>
        <w:rPr>
          <w:rFonts w:hint="eastAsia" w:hAnsi="宋体" w:eastAsia="宋体" w:cs="宋体"/>
          <w:b/>
          <w:bCs w:val="0"/>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w:t>
      </w:r>
      <w:r>
        <w:rPr>
          <w:rFonts w:hint="eastAsia" w:ascii="宋体" w:hAnsi="宋体" w:eastAsia="宋体" w:cs="宋体"/>
          <w:b/>
          <w:bCs w:val="0"/>
          <w:color w:val="000000"/>
          <w:sz w:val="21"/>
          <w:szCs w:val="21"/>
          <w:highlight w:val="none"/>
        </w:rPr>
        <w:t xml:space="preserve">合同履行期限：</w:t>
      </w:r>
      <w:r>
        <w:rPr>
          <w:rFonts w:hint="eastAsia" w:ascii="宋体" w:hAnsi="宋体" w:eastAsia="宋体" w:cs="宋体"/>
          <w:b/>
          <w:bCs w:val="0"/>
          <w:color w:val="000000"/>
          <w:sz w:val="21"/>
          <w:szCs w:val="21"/>
          <w:highlight w:val="none"/>
          <w:lang w:eastAsia="zh-CN"/>
        </w:rPr>
        <w:t xml:space="preserve">自合同生效之日起</w:t>
      </w:r>
      <w:r>
        <w:rPr>
          <w:rFonts w:hint="eastAsia" w:ascii="宋体" w:hAnsi="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lang w:eastAsia="zh-CN"/>
        </w:rPr>
        <w:t xml:space="preserve">年。</w:t>
      </w:r>
      <w:r/>
    </w:p>
    <w:p>
      <w:pPr>
        <w:ind w:firstLine="48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、★采购需求：</w:t>
      </w:r>
      <w:r/>
    </w:p>
    <w:p>
      <w:pPr>
        <w:ind w:firstLine="482"/>
        <w:keepLines w:val="0"/>
        <w:keepNext w:val="0"/>
        <w:pageBreakBefore w:val="0"/>
        <w:spacing w:line="360" w:lineRule="auto"/>
        <w:rPr>
          <w:rFonts w:hint="eastAsia" w:ascii="宋体" w:hAnsi="宋体" w:eastAsia="宋体" w:cs="宋体"/>
          <w:b/>
          <w:sz w:val="21"/>
          <w:szCs w:val="21"/>
          <w:highlight w:val="none"/>
        </w:rPr>
        <w:outlineLvl w:val="0"/>
      </w:pPr>
      <w:r>
        <w:rPr>
          <w:rFonts w:hint="eastAsia" w:ascii="宋体" w:hAnsi="宋体" w:cs="宋体"/>
          <w:b/>
          <w:sz w:val="21"/>
          <w:szCs w:val="21"/>
          <w:highlight w:val="none"/>
          <w:lang w:val="en-US" w:eastAsia="zh-CN"/>
        </w:rPr>
        <w:t xml:space="preserve">（一）</w:t>
      </w:r>
      <w:r>
        <w:rPr>
          <w:rFonts w:hint="eastAsia" w:ascii="宋体" w:hAnsi="宋体" w:eastAsia="宋体" w:cs="宋体"/>
          <w:b/>
          <w:sz w:val="21"/>
          <w:szCs w:val="21"/>
          <w:highlight w:val="none"/>
        </w:rPr>
        <w:t xml:space="preserve">项目概况</w:t>
      </w:r>
      <w:r/>
    </w:p>
    <w:p>
      <w:pPr>
        <w:ind w:firstLine="315"/>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本项目合同期限为</w:t>
      </w:r>
      <w:r>
        <w:rPr>
          <w:rFonts w:hint="eastAsia" w:ascii="宋体" w:hAnsi="宋体" w:cs="宋体"/>
          <w:bCs/>
          <w:color w:val="auto"/>
          <w:sz w:val="21"/>
          <w:szCs w:val="21"/>
          <w:highlight w:val="none"/>
          <w:lang w:val="en-US" w:eastAsia="zh-CN"/>
        </w:rPr>
        <w:t xml:space="preserve">二</w:t>
      </w:r>
      <w:r>
        <w:rPr>
          <w:rFonts w:hint="eastAsia" w:ascii="宋体" w:hAnsi="宋体" w:cs="宋体"/>
          <w:bCs/>
          <w:color w:val="auto"/>
          <w:sz w:val="21"/>
          <w:szCs w:val="21"/>
          <w:highlight w:val="none"/>
        </w:rPr>
        <w:t xml:space="preserve">年。服务地点为苏州市吴江区松陵街道办事处，服务内容主要包括维持食堂的正常运转以满足工作人员的就餐需求，包括食堂区域的清洁管理、接待及卫生等。</w:t>
      </w:r>
      <w:r/>
    </w:p>
    <w:p>
      <w:pPr>
        <w:ind w:firstLine="482"/>
        <w:keepLines w:val="0"/>
        <w:keepNext w:val="0"/>
        <w:pageBreakBefore w:val="0"/>
        <w:spacing w:line="360" w:lineRule="auto"/>
        <w:rPr>
          <w:rFonts w:hint="eastAsia" w:ascii="宋体" w:hAnsi="宋体" w:eastAsia="宋体" w:cs="宋体"/>
          <w:b/>
          <w:sz w:val="24"/>
          <w:szCs w:val="24"/>
          <w:highlight w:val="none"/>
        </w:rPr>
        <w:outlineLvl w:val="0"/>
      </w:pPr>
      <w:r>
        <w:rPr>
          <w:rFonts w:hint="eastAsia" w:ascii="宋体" w:hAnsi="宋体" w:cs="宋体"/>
          <w:bCs/>
          <w:color w:val="auto"/>
          <w:sz w:val="21"/>
          <w:szCs w:val="21"/>
          <w:highlight w:val="none"/>
        </w:rPr>
        <w:t xml:space="preserve">苏州市吴江区松陵街道办事处平时就餐人员约</w:t>
      </w: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1</w:t>
      </w:r>
      <w:r>
        <w:rPr>
          <w:rFonts w:ascii="宋体" w:hAnsi="宋体" w:cs="宋体"/>
          <w:bCs/>
          <w:color w:val="auto"/>
          <w:sz w:val="21"/>
          <w:szCs w:val="21"/>
          <w:highlight w:val="none"/>
        </w:rPr>
        <w:t xml:space="preserve">0</w:t>
      </w:r>
      <w:r>
        <w:rPr>
          <w:rFonts w:hint="eastAsia" w:ascii="宋体" w:hAnsi="宋体" w:cs="宋体"/>
          <w:bCs/>
          <w:color w:val="auto"/>
          <w:sz w:val="21"/>
          <w:szCs w:val="21"/>
          <w:highlight w:val="none"/>
        </w:rPr>
        <w:t xml:space="preserve">人，食堂运营工作人员餐由</w:t>
      </w:r>
      <w:r>
        <w:rPr>
          <w:rFonts w:hint="eastAsia" w:ascii="宋体" w:hAnsi="宋体" w:cs="宋体"/>
          <w:bCs/>
          <w:color w:val="auto"/>
          <w:sz w:val="21"/>
          <w:szCs w:val="21"/>
          <w:highlight w:val="none"/>
          <w:lang w:val="en-US" w:eastAsia="zh-CN"/>
        </w:rPr>
        <w:t xml:space="preserve">成交方</w:t>
      </w:r>
      <w:r>
        <w:rPr>
          <w:rFonts w:hint="eastAsia" w:ascii="宋体" w:hAnsi="宋体" w:cs="宋体"/>
          <w:bCs/>
          <w:color w:val="auto"/>
          <w:sz w:val="21"/>
          <w:szCs w:val="21"/>
          <w:highlight w:val="none"/>
        </w:rPr>
        <w:t xml:space="preserve">自行解决。供餐时间为</w:t>
      </w:r>
      <w:r>
        <w:rPr>
          <w:rFonts w:hint="eastAsia" w:ascii="宋体" w:hAnsi="宋体" w:cs="宋体"/>
          <w:bCs/>
          <w:color w:val="auto"/>
          <w:sz w:val="21"/>
          <w:szCs w:val="21"/>
          <w:highlight w:val="none"/>
        </w:rPr>
        <w:t xml:space="preserve">每日</w:t>
      </w:r>
      <w:r>
        <w:rPr>
          <w:rFonts w:ascii="SimSun" w:hAnsi="SimSun" w:eastAsia="SimSun" w:cs="SimSun"/>
          <w:color w:val="000000"/>
          <w:sz w:val="21"/>
          <w:szCs w:val="21"/>
        </w:rPr>
        <w:t xml:space="preserve">早餐、午餐和晚餐</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除特殊情况外，法定节假日及双休日不提供）。采购方提供</w:t>
      </w:r>
      <w:r>
        <w:rPr>
          <w:rFonts w:hint="eastAsia" w:ascii="宋体" w:hAnsi="宋体" w:cs="宋体"/>
          <w:bCs/>
          <w:color w:val="auto"/>
          <w:szCs w:val="21"/>
          <w:highlight w:val="none"/>
        </w:rPr>
        <w:t xml:space="preserve">厨房、餐厅及基础设施、全套厨房设施，并负责水、电、气（费用由采购方直接结算）。添置、更换、维修食堂相关设备设施，由运营</w:t>
      </w:r>
      <w:r>
        <w:rPr>
          <w:rFonts w:hint="eastAsia" w:ascii="宋体" w:hAnsi="宋体" w:cs="宋体"/>
          <w:bCs/>
          <w:color w:val="auto"/>
          <w:szCs w:val="21"/>
          <w:highlight w:val="none"/>
          <w:lang w:val="en-US" w:eastAsia="zh-CN"/>
        </w:rPr>
        <w:t xml:space="preserve">方</w:t>
      </w:r>
      <w:r>
        <w:rPr>
          <w:rFonts w:hint="eastAsia" w:ascii="宋体" w:hAnsi="宋体" w:cs="宋体"/>
          <w:bCs/>
          <w:color w:val="auto"/>
          <w:szCs w:val="21"/>
          <w:highlight w:val="none"/>
        </w:rPr>
        <w:t xml:space="preserve">提出，经采购方同意后由采购方负责购买。各类物资的采购由采购方负责。采购方有权监督核定餐厅菜式定价工作。</w:t>
      </w:r>
      <w:r/>
    </w:p>
    <w:p>
      <w:pPr>
        <w:ind w:firstLine="361"/>
        <w:spacing w:line="360" w:lineRule="auto"/>
        <w:rPr>
          <w:rFonts w:ascii="宋体" w:hAnsi="宋体" w:cs="宋体"/>
          <w:bCs/>
          <w:color w:val="auto"/>
          <w:szCs w:val="21"/>
          <w:highlight w:val="none"/>
        </w:rPr>
      </w:pPr>
      <w:r>
        <w:rPr>
          <w:rFonts w:hint="eastAsia" w:ascii="宋体" w:hAnsi="宋体" w:cs="宋体"/>
          <w:b/>
          <w:sz w:val="24"/>
          <w:szCs w:val="24"/>
          <w:highlight w:val="none"/>
          <w:lang w:val="en-US" w:eastAsia="zh-CN"/>
        </w:rPr>
        <w:t xml:space="preserve">（二）</w:t>
      </w:r>
      <w:r>
        <w:rPr>
          <w:rFonts w:hint="eastAsia" w:ascii="宋体" w:hAnsi="宋体" w:cs="宋体"/>
          <w:bCs/>
          <w:color w:val="auto"/>
          <w:szCs w:val="21"/>
          <w:highlight w:val="none"/>
        </w:rPr>
        <w:t xml:space="preserve">人员配置清单：总人数不得少于1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人</w:t>
      </w:r>
      <w:r/>
    </w:p>
    <w:tbl>
      <w:tblPr>
        <w:tblStyle w:val="719"/>
        <w:tblW w:w="9372" w:type="dxa"/>
        <w:tblInd w:w="0" w:type="dxa"/>
        <w:tblLayout w:type="fixed"/>
        <w:tblCellMar>
          <w:left w:w="108" w:type="dxa"/>
          <w:top w:w="0" w:type="dxa"/>
          <w:right w:w="108" w:type="dxa"/>
          <w:bottom w:w="0" w:type="dxa"/>
        </w:tblCellMar>
        <w:tblLook w:val="04A0" w:firstRow="1" w:lastRow="0" w:firstColumn="1" w:lastColumn="0" w:noHBand="0" w:noVBand="1"/>
      </w:tblPr>
      <w:tblGrid>
        <w:gridCol w:w="696"/>
        <w:gridCol w:w="1058"/>
        <w:gridCol w:w="1294"/>
        <w:gridCol w:w="1118"/>
        <w:gridCol w:w="4471"/>
        <w:gridCol w:w="735"/>
      </w:tblGrid>
      <w:tr>
        <w:trPr>
          <w:trHeight w:val="289"/>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年龄要求</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人数下限</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基本要求</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备注</w:t>
            </w:r>
            <w:r/>
          </w:p>
        </w:tc>
      </w:tr>
      <w:tr>
        <w:trPr>
          <w:trHeight w:val="633"/>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管理人员</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30-50周岁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具有健康证，从事饭店餐饮管理工作五年以上</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948"/>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主厨</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30</w:t>
            </w:r>
            <w:r>
              <w:rPr>
                <w:rFonts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50</w:t>
            </w:r>
            <w:r>
              <w:rPr>
                <w:rFonts w:hAnsi="宋体" w:eastAsia="宋体" w:cs="宋体"/>
                <w:color w:val="auto"/>
                <w:sz w:val="21"/>
                <w:szCs w:val="21"/>
                <w:highlight w:val="none"/>
              </w:rPr>
              <w:t xml:space="preserve">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具有健康证，烹调师资格，从事饭店餐饮工作五年以上</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85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厨师</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25-50周岁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具有健康证，烹调师资格，有餐饮行业工作经验</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厨工</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18-50周岁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具有健康证，烹调师资格，有餐饮行业工作经验</w:t>
            </w:r>
            <w:r/>
          </w:p>
        </w:tc>
        <w:tc>
          <w:tcPr>
            <w:tcBorders>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服务员</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18-50周岁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具有健康证，五官端正，有餐饮行业工作经验</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早餐师</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w:t>
            </w:r>
            <w:r>
              <w:rPr>
                <w:rFonts w:hint="eastAsia" w:hAnsi="宋体" w:eastAsia="宋体" w:cs="宋体"/>
                <w:color w:val="auto"/>
                <w:sz w:val="21"/>
                <w:szCs w:val="21"/>
                <w:highlight w:val="none"/>
              </w:rPr>
              <w:t xml:space="preserve">0</w:t>
            </w:r>
            <w:r>
              <w:rPr>
                <w:rFonts w:hAnsi="宋体" w:eastAsia="宋体" w:cs="宋体"/>
                <w:color w:val="auto"/>
                <w:sz w:val="21"/>
                <w:szCs w:val="21"/>
                <w:highlight w:val="none"/>
              </w:rPr>
              <w:t xml:space="preserve">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具有健康证，面点师资格，有餐饮行业工作经验</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olor w:val="auto"/>
                <w:sz w:val="21"/>
                <w:szCs w:val="21"/>
                <w:highlight w:val="none"/>
              </w:rPr>
              <w:t xml:space="preserve">勤杂</w:t>
            </w:r>
            <w:r/>
          </w:p>
        </w:tc>
        <w:tc>
          <w:tcPr>
            <w:tcBorders>
              <w:top w:val="single" w:color="auto" w:sz="4" w:space="0"/>
              <w:left w:val="single" w:color="auto" w:sz="4" w:space="0"/>
              <w:bottom w:val="single" w:color="auto" w:sz="4" w:space="0"/>
              <w:right w:val="single" w:color="auto" w:sz="4" w:space="0"/>
            </w:tcBorders>
            <w:tcW w:w="1294"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25-55周岁</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tcPr>
          <w:p>
            <w:pPr>
              <w:pStyle w:val="939"/>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4471" w:type="dxa"/>
            <w:vAlign w:val="center"/>
            <w:textDirection w:val="lrTb"/>
            <w:noWrap/>
          </w:tcPr>
          <w:p>
            <w:pPr>
              <w:pStyle w:val="939"/>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具有健康证，具有初中以上文化程度</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939"/>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bl>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（三）服务工作要求：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以实惠、卫生、可口为目的，科学配餐，营养配餐，提高膳食质量。预防为主，食堂提供的饭菜应保质、保量、保安全，做好合理膳食配搭，确保营养丰富，食堂应做好供餐计划安排，剩余饭菜一律不得隔夜再供应。遵守各项法律、法规和规章制度，按国家《食品卫生法》严格执行操作规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2、岗前对所有人员进行体检，然后按有关规定，定期体检（每半年），并将体检报告报采购方报备，不符合要求的人员立即调整。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3、具体工作要求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（1）管理人员工作要求：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负责食堂日常管理工作，服从采购方管理，并对完成任务负总责。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（2）主厨工作要求：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1）根据餐厅的情况及当天的用餐情况，填写请购单和领料单，验收货品质量和数量，并将其发放到各个班组以保证及时、圆满地完成菜肴的供应任务。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2）检查食品质量，变质食品不下锅、不蒸煮、不烘烤。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3）根据用餐人数有计划的烧饭。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4）工作结束物品加盖，工具、用具、炉灶、地面清扫干净。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5）全面检查菜肴、点心的质量，减少并杜绝不符合规格、质量要求的成品和半成品。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6）虚心听取用餐人员的意见和要求，不断提高饭菜的质量，满足采购方的需求。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7）对厨师进行业务指导，组织并实施技术培训。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8）验收食品做好质量、数量、发霉变质食品处理等记录。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9）检查所购食品有无合格证和检疫证明。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10）腐败变质、发霉、生虫、有毒、有害、掺杂掺假食品不签收。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11）验收后向厨房有关人员分门别类交代清楚。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12）验收记录妥善保存以备检查。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（3）厨师工作要求：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1）配合主厨完成各项任务。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2）工作结束物品加盖，工具、用具、炉灶、地面清扫干净。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3）虚心听取用餐人员的意见和要求，不断提高饭菜的质量，满足甲方的需求。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4）验收食品做好质量、数量、发霉变质食品处理等记录。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5）检查所购食品有无合格证和检疫证明。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（4）厨工工作要求：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1 )身体健康，正式上岗前经过卫生检疫检验机构的正规培训，并持有健康证；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2）有责任心，细心、有较好的整理归纳和沟通的能力。</w:t>
      </w:r>
      <w:r/>
    </w:p>
    <w:p>
      <w:pPr>
        <w:ind w:firstLine="315"/>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  （5）</w:t>
      </w:r>
      <w:r>
        <w:rPr>
          <w:rFonts w:hint="eastAsia" w:ascii="宋体" w:hAnsi="宋体" w:cs="宋体"/>
          <w:color w:val="auto"/>
          <w:szCs w:val="21"/>
          <w:highlight w:val="none"/>
        </w:rPr>
        <w:t xml:space="preserve">服务员工作要求：</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1）服装穿戴整齐，男不留长发，女发不过肩，化妆淡雅大方。</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2）做好台面调料、牙签、餐巾、茶水等清洁卫生工作。</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3）禁止直接用手拿取食物及相关物品。</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4）用餐前餐具要集中摆放整齐，保持清洁，用洁净白布盖好，防止蝇叮，餐具内外保持干净、干燥。</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5）工作结束后做好台面、桌椅及地面的清扫、整理工作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（6）早餐师工作要求：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1）负责食堂的早点制作，配合做好早餐供应工作。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2）把握食堂每周早餐用餐情况，按每天早餐就餐人员多少精确用量，对未售完的早点应根据质量情况加以妥善保管，杜绝浪费。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3）精心制作，确保早点质量。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（7）勤杂工要求：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1）配合餐厅勤杂工作。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2）搞好砧墩、案板、地面的卫生和刀砧洁净与保养工作。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3）本区域的灭蝇防蝇工作，管理好餐饮设备和设施。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4）积极服从和努力完成交办的其他工作。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5）服装穿戴整齐，男不留长发，女发不过肩，化妆淡雅大方。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6）做好台面调料、牙签、餐巾、茶水等清洁卫生工作。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7）禁止直接用手拿取食物及相关物品。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8）用餐前餐具要集中摆放整齐，保持清洁，用洁净白布盖好，防止蝇叮，餐具内外保持干净干燥。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9）工作结束后做好台面、桌椅及地面的清扫、整理工作。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4、厨师实行轮岗制度，主厨及厨师每半年换一次（不得低于投标时主厨及厨师的承诺和标准），提高烹饪技，扎实做好餐饮服务工作。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5、所有食堂工作人员，应根据不同的工种配发工服和工号牌（服装费由成交</w:t>
      </w:r>
      <w:r>
        <w:rPr>
          <w:rFonts w:hint="eastAsia" w:ascii="宋体" w:hAnsi="宋体" w:cs="宋体"/>
          <w:bCs/>
          <w:color w:val="auto"/>
          <w:szCs w:val="21"/>
          <w:highlight w:val="none"/>
        </w:rPr>
        <w:t xml:space="preserve">单位自理），仪容仪表要符合规定标准，发型要统一，参加服务的所有工作人员应向招标单位提供本人身份证原件（查验），复印件（备案）。男员工不准留胡须、蓄长发；女员工不准浓妆艳抹或佩过份的饰物，头发染色不能过艳。所有员工白天工作时间不能着大衣和背心或敞胸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并保持每年两次的健康检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食堂工作人员按规范程序招聘、录用,按时上、下班,坚守工作岗位。所有食堂工作人员必须社会背景清楚，身体健康。所有食堂工作人员必须到采购方备案，提供卫生健康证明并上墙公示。更换、补充人员必须经过备案。采购方将不定期的对人员上岗情况进行考核，考核如在二十天内达不到要求，采购方有权对</w:t>
      </w:r>
      <w:r>
        <w:rPr>
          <w:rFonts w:hint="eastAsia" w:ascii="宋体" w:hAnsi="宋体" w:cs="宋体"/>
          <w:bCs/>
          <w:color w:val="auto"/>
          <w:szCs w:val="21"/>
          <w:highlight w:val="none"/>
          <w:lang w:eastAsia="zh-CN"/>
        </w:rPr>
        <w:t xml:space="preserve">成交人</w:t>
      </w:r>
      <w:r>
        <w:rPr>
          <w:rFonts w:hint="eastAsia" w:ascii="宋体" w:hAnsi="宋体" w:cs="宋体"/>
          <w:bCs/>
          <w:color w:val="auto"/>
          <w:szCs w:val="21"/>
          <w:highlight w:val="none"/>
        </w:rPr>
        <w:t xml:space="preserve">进行扣款等惩罚。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（四）食堂服务工作内容及要求：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1、食堂基本要求：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食堂实行“一日</w:t>
      </w:r>
      <w:r>
        <w:rPr>
          <w:rFonts w:hint="eastAsia" w:ascii="宋体" w:hAnsi="宋体" w:cs="宋体"/>
          <w:bCs/>
          <w:color w:val="auto"/>
          <w:szCs w:val="21"/>
          <w:highlight w:val="none"/>
          <w:lang w:val="en-US" w:eastAsia="zh-CN"/>
        </w:rPr>
        <w:t xml:space="preserve">三</w:t>
      </w:r>
      <w:r>
        <w:rPr>
          <w:rFonts w:hint="eastAsia" w:ascii="宋体" w:hAnsi="宋体" w:cs="宋体"/>
          <w:bCs/>
          <w:color w:val="auto"/>
          <w:szCs w:val="21"/>
          <w:highlight w:val="none"/>
        </w:rPr>
        <w:t xml:space="preserve">餐制”，</w:t>
      </w:r>
      <w:r>
        <w:rPr>
          <w:rFonts w:ascii="宋体" w:hAnsi="宋体" w:cs="宋体"/>
          <w:bCs/>
          <w:color w:val="auto"/>
          <w:szCs w:val="21"/>
          <w:highlight w:val="none"/>
        </w:rPr>
      </w:r>
      <w:r>
        <w:rPr>
          <w:rFonts w:ascii="SimSun" w:hAnsi="SimSun" w:eastAsia="SimSun" w:cs="SimSun"/>
          <w:color w:val="000000"/>
          <w:sz w:val="21"/>
        </w:rPr>
        <w:t xml:space="preserve">食堂运行时间，从上午6:00开始至中午13:30左右就餐结束（提前准备工作时间由成交人自行掌握），晚餐17:00开始到18:00就餐结束。员工作息时间由服务方负责，上班时间采用弹性工作制（忙时存时，闲时欠时），忙时集中人力、集中精力、相互协同完成任务，闲时人员分散。周六、周日和节假日，如遇采购单位有批量人员加班或其他用餐，成交人应配合做好餐饮服务（采购单位应至少提前6小时通知中标方准备）。</w:t>
      </w:r>
      <w:r/>
      <w:r/>
      <w:r>
        <w:rPr>
          <w:sz w:val="21"/>
        </w:rP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2）就餐按时供应，不得拖延。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3）人员按约定配备，每周五上午公布下周菜单。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4）餐厅用餐标准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早餐提供各式汤面及炒菜浇头、粥酱菜、包子馒头等点心、牛奶、豆浆等品种。午餐菜单经常更换，根据采购方用餐标准，确定每日品种不少于大荤三道、小荤</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rPr>
        <w:t xml:space="preserve">道、蔬菜</w:t>
      </w:r>
      <w:r>
        <w:rPr>
          <w:rFonts w:hint="eastAsia" w:ascii="宋体" w:hAnsi="宋体" w:cs="宋体"/>
          <w:bCs/>
          <w:color w:val="auto"/>
          <w:szCs w:val="21"/>
          <w:highlight w:val="none"/>
          <w:lang w:val="en-US" w:eastAsia="zh-CN"/>
        </w:rPr>
        <w:t xml:space="preserve">二</w:t>
      </w:r>
      <w:r>
        <w:rPr>
          <w:rFonts w:hint="eastAsia" w:ascii="宋体" w:hAnsi="宋体" w:cs="宋体"/>
          <w:bCs/>
          <w:color w:val="auto"/>
          <w:szCs w:val="21"/>
          <w:highlight w:val="none"/>
        </w:rPr>
        <w:t xml:space="preserve">道、汤、米饭。夏天可提供冰镇绿豆汤等饮品。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5）小包厢服务：根据采购单位要求，提供标准用餐服务，满足使用需求。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6）每周要有创新及特色菜。</w:t>
      </w:r>
      <w:r/>
    </w:p>
    <w:p>
      <w:pPr>
        <w:ind w:firstLine="420"/>
        <w:rPr>
          <w:rFonts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7）根据</w:t>
      </w:r>
      <w:r>
        <w:rPr>
          <w:rFonts w:hint="eastAsia" w:ascii="宋体" w:hAnsi="宋体" w:cs="宋体"/>
          <w:bCs/>
          <w:color w:val="auto"/>
          <w:szCs w:val="21"/>
          <w:highlight w:val="none"/>
        </w:rPr>
        <w:t xml:space="preserve">采购单位要求，提供其他相关服务。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2、其他：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（1）食品卫生合格率必须达到100%。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（2）严格控制物品损耗率并按规定程序报损。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（3）厨房要保持设备整齐划一。工作台、餐具、炊具、地面、墙面按时消毒，干净无异物。冰箱保持干净卫生，分档分类存放食物(生熟分开、肉类、鱼类、海鲜类等分档分类保存)。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（4）各类餐具物品年耗损率要控制在2%以内。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（5）餐厅内粗加工间、更衣间、仓库、面点间等功能区域划分明确。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（6）餐具严格洗、消、冲、保洁，利用消毒柜对餐具进行严格消毒。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（7）餐厅员工衣帽统一、穿戴整齐，保持整洁，上岗期间必须戴口罩，着工作服、工作帽，每个员工有冬、夏工作服各两套。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（8）餐厅内有健全的防鼠、防蝇、防尘“三防措施”（特别是分菜间、加工间、餐厅等场所的门窗）。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搞好餐厅内外环境卫生，做到熟食、生料加工分开，杜绝生、熟食混放，每餐对食品留样。制定餐厅卫生管理制度，建立餐厅卫生工作自查记录。餐厅内所有垃圾倒在指定地点，定期对就餐场所、就餐桌椅、板凳进行打扫消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（10）确保餐厅操作的安全卫生，杜绝各类设施设备的安全卫生事故。全体工作人员都应熟练掌握消防安全常规常识，严格执行消防安全标准，确保不出问题。做到人走灯灭，人走水停。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（11）在餐厅管理中，不使用腐烂变质的主副食品，包括各类辅料，不供应变质饭菜，保证饭菜卫生质量。注意荤素、营养的搭配，花色品种不断翻新，做到饭热、菜香、价廉物美。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 每年由卫生检疫进行二次抽检，抽检得分列入考核（扣分计入当月考核扣分）；对抽检整改项目，立即整改，整改不到位的，采购单位有权终止合同；每天的菜品要留样，以备抽检。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（五）投标方案要求：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响应单位须就以上服务工作制作详细的服务方案。管理方案的内容至少应包含以下内容：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1、拟采取的管理及服务方式。包括：组织架构、机构设置等；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2、各项管理服务具体方案设计。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4、管理人员配备和其他员工的配备；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5、管理人员的培训和发展计划，包括培训计划、方式、目标等；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6、管理质量和考核计划；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7、合同期内可提供给采购方的文件资料清单；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8、合同终止时，保留给采购方的资料清单；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（六）试用期：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成交单位在进场提供服务后有一个月的试用期，若在试用期间该单位所提供的服务能达到采购文件规定的标准和其承诺，则该合同继续进行；若在此期间内预成交单位所提供的服务未能达到采购文件规定的标准或其投标承诺，则采购单位可以无条件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（七）付款方式</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1、每月支付的合同价款=成交价/服务期限（按</w:t>
      </w:r>
      <w:r>
        <w:rPr>
          <w:rFonts w:hint="eastAsia" w:ascii="宋体" w:hAnsi="宋体" w:cs="宋体"/>
          <w:bCs/>
          <w:color w:val="auto"/>
          <w:szCs w:val="21"/>
          <w:highlight w:val="none"/>
          <w:lang w:val="en-US" w:eastAsia="zh-CN"/>
        </w:rPr>
        <w:t xml:space="preserve">24</w:t>
      </w:r>
      <w:r>
        <w:rPr>
          <w:rFonts w:ascii="宋体" w:hAnsi="宋体" w:cs="宋体"/>
          <w:bCs/>
          <w:color w:val="auto"/>
          <w:szCs w:val="21"/>
          <w:highlight w:val="none"/>
        </w:rPr>
        <w:t xml:space="preserve">个月）-当月考核扣款（如有），付款方式为次月支付上一月的费用。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五、其他说明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1、报价的编制依据：</w:t>
      </w:r>
      <w:r/>
    </w:p>
    <w:p>
      <w:pPr>
        <w:ind w:firstLine="422"/>
        <w:spacing w:line="360" w:lineRule="auto"/>
        <w:rPr>
          <w:rFonts w:ascii="宋体" w:hAnsi="宋体" w:cs="宋体"/>
          <w:bCs/>
          <w:color w:val="auto"/>
          <w:szCs w:val="21"/>
          <w:highlight w:val="none"/>
        </w:rPr>
      </w:pPr>
      <w:r>
        <w:rPr>
          <w:rFonts w:hint="eastAsia" w:ascii="宋体" w:hAnsi="宋体" w:cs="宋体"/>
          <w:b/>
          <w:bCs w:val="0"/>
          <w:color w:val="auto"/>
          <w:szCs w:val="21"/>
          <w:highlight w:val="none"/>
        </w:rPr>
        <w:t xml:space="preserve">本项目最低配置人员不得少于1</w:t>
      </w:r>
      <w:r>
        <w:rPr>
          <w:rFonts w:hint="eastAsia" w:ascii="宋体" w:hAnsi="宋体" w:cs="宋体"/>
          <w:b/>
          <w:bCs w:val="0"/>
          <w:color w:val="auto"/>
          <w:szCs w:val="21"/>
          <w:highlight w:val="none"/>
          <w:lang w:val="en-US" w:eastAsia="zh-CN"/>
        </w:rPr>
        <w:t xml:space="preserve">3</w:t>
      </w:r>
      <w:r>
        <w:rPr>
          <w:rFonts w:hint="eastAsia" w:ascii="宋体" w:hAnsi="宋体" w:cs="宋体"/>
          <w:b/>
          <w:bCs w:val="0"/>
          <w:color w:val="auto"/>
          <w:szCs w:val="21"/>
          <w:highlight w:val="none"/>
        </w:rPr>
        <w:t xml:space="preserve">人，</w:t>
      </w:r>
      <w:r>
        <w:rPr>
          <w:rFonts w:hint="eastAsia" w:ascii="宋体" w:hAnsi="宋体" w:cs="宋体"/>
          <w:bCs/>
          <w:color w:val="auto"/>
          <w:szCs w:val="21"/>
          <w:highlight w:val="none"/>
        </w:rPr>
        <w:t xml:space="preserve">响应单位必须按照《劳动法》及苏州市的有关规定，并支付工资（充分考虑本地区最低工资标准）、交纳正常的社会保险，加班费和法定节假日的加班费及国家政策性费用一并包含在投标报价中。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投标人应对所投项目的全部内容进行报价，只投其中部分内容者，其标书将被拒绝。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（1）投标报价明细表中人员工资、非超龄人员社保费不得低于国家及当地政府规定，否则为无效投标。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（2）高温费按国家及当地政府有关规定发放。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（3）所有岗位必须全年有人员在岗，国假日每年11天计算，双休日共52周，如有加班，加班工资由服务方自负，采购单位不再支付加班费。双休日加班工资为二倍，国假日加班工资为三倍。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(4)如遇人员离职，须及时补充，如不能补充按离职人员月工资的双倍扣除。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（5）服务期限内因国家或地方政策性调整产生的费用由投标单位自行承担，采购单位在服务期限内不再补贴支付额外的费用。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（1）采购单位违约责任：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采购单位如未按约付款的，则成交单位应书面催告。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（2）成交单位违约责任：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若中标的响应单位在服务期间，出现下列情形之一的，招标单位有权终止或解除合同。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1）未经招标单位许可，将中标的服务全部或部分转包他人；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2）严重违反《考核办法》（见采购文件附件）的有关规定或招标方的有关规定；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3）招标单位组织的对成交单位月度考核不合格的（服务期内考核中，月度考核累计三次低于85分以下，或单次考核得分60分以下）；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4）派驻采购单位的食堂服务人员年龄不符合采购文件的年龄要求，采购单位要求更换，成交单位仍拒不更换的；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5）成交单位长期（连续两个月内）有人员不到位，实际到岗人数（岗位）未达采购文件规定的人数，影响服务管理质量的，经采购单位要求成交单位及时改正，成交单位仍拒不改正的，采购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6）厨师未按规定半年更换一次（主厨和厨师的轮岗制度），采购单位要求成交单位及时改正，成交单位仍拒不改正的；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7）成交单位派驻的服务人员有健康状况不达标、无法提供健康证明或体检合格证的，采购单位要求成交单位及时改正，成交单位仍拒不改正的，采购单位有权终止或解除合同。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8）出现重大食品安全或事故问题，包括但不限于因成交单位管理出现严重失误，导致采购单位或成交单位出现食物中毒等生命财产安全重大事故的（如有人员伤亡医药费在2万元以上的或有财产损失2万元以上的），采购单位有权终止或解除合同。成交单位对采购单位造成的经济损失负有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六、绩效管理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甲方根据每月考核结果支付服务费，每月考核得分高于95分（含95分）的不扣除当月服务费，低于95分的，按考核得分（保留二位小数）进行扣款，从95分（不含95分）起扣，每少1分扣人民币1000元，不足1分的按1分计算，直接在当月服务款支付中扣除。如在服务期内考核中，月度考核累计三次低于85分以下，或单次考核得分60分以下，甲方有权直接解除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每月服务费中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2、成交单位在服务期间应认真履职，服务期间由于成交单位管理不善或失误，除了按考核细则要求扣除当月的服务费之外，对造成的损失要进行全额赔偿。</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成交单位在被确定后有一个月试用期，在试用期间该单位所提供的服务应能达到采购文件规定的标准和其承诺，在此期间若成交单位所提供的服务未能达到采购文件规定的标准或其投标承诺，则采购单位将有权取消其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七、 综合说明及其他要求：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1、成交单位在进驻采购单位时要提供所有服务人员基本信息（身份证复印件，体检报告原件等）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2、因成交单位管理不善，造成工作范围内的设施、设备等损坏的，由直接负责人赔偿，若直接负责人因故无法赔偿的，采购单位有权要求成交单位负责赔偿损失，情节严重的可终止合同甚至诉诸法律。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（1）查询时间：响应文件递交截止时间后。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（3）信用记录使用规则：对供应商进行资格性审查时，应根据查询结果对供应商的不良信用记录逐项甄别确认。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4、成交单位须为员工配置统一的工作服、胸卡等。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5、针对本项目招标单位将为成交单位提供的公用设备如：办公用房、办公桌椅等必要的办公用具。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6、成交单位工作人员在岗履行职责期间（包括上下班途中），发生自身的人身伤害、伤亡，均由成交单位负责处理并承担经济和道义上的责任，招标单位不承担任何责任。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7、所有现在工作人员必须具备一年内有效的体检证明（个人健康证）。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成交单位所委派至招标单位工作的所有劳动者，均应与成交单位签订书面劳动合同，支付不低于当地最低工资水平的薪酬，并由成交单位为派驻员工缴纳社保等所有法定保险；若成交单位委派至招标单位工作的劳动者，因任何理由通过劳动仲裁、法院诉讼等任何途径向招标单位主张任何劳动者权益，若受诉机关判令招标单位向该劳动者承担任何责任后，则招标单位依法代偿后，有权向成交单位全额追偿，成交单位不得以任何理由予以推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成交单位派驻招标单位的所有劳动者在招标单位工作期间，不管因其个人原因还是工作原因或第三人原因，所受到的人身或财产损害均由成交单位或第三人或劳动者自行承担，而不得以劳动仲裁或诉讼等途径向招标单位主张相关权利；若成交单位委派至招标单位工作的所有劳动者，通过劳动仲裁或诉讼任何方式向招标单位主张任何权利，任何法定机关通过仲裁裁决、法院判决等形式判令招标单位向该受害劳动者承担赔偿责任后，则招标单位依法代偿后，有权向成交单位全额追偿，成交单位不得以任何理由予以推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10、若成交单位派驻招标单位的所有劳动者造成招标单位人员或任何第三人人身财产损失，若该受害人向招标人主张相应权利，则招标依法代偿后，有权向成交单位全额追偿，成交单位不得以任何理由予以推脱。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11、凡涉及采购文件的补充说明和修改，均以苏州市政府采购网上公示为准</w:t>
      </w:r>
      <w:r>
        <w:rPr>
          <w:rFonts w:hint="eastAsia" w:ascii="宋体" w:hAnsi="宋体" w:cs="宋体"/>
          <w:color w:val="auto"/>
          <w:szCs w:val="21"/>
          <w:highlight w:val="none"/>
        </w:rPr>
        <w:t xml:space="preserve">。</w:t>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评标时，评标委员会成员分别对每个有效磋商响应单位的标书进行评价、打分，将评委的评分按算术平均方法，计算出每个有效磋商响应单位的评委评审得分（保留小数点后两位）。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评标委员会认为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不能证明其报价合理性的，评标委员会应当将其作为无效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.政府采购政策功能落实</w:t>
      </w:r>
      <w:r/>
    </w:p>
    <w:p>
      <w:pPr>
        <w:ind w:firstLine="482"/>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专门面向中小企业采购的项目或者采购包，不再执行价格评审优惠的扶持政策。</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p>
    <w:p>
      <w:pPr>
        <w:pStyle w:val="903"/>
        <w:ind w:firstLine="482"/>
        <w:jc w:val="both"/>
        <w:keepLines w:val="0"/>
        <w:keepNext w:val="0"/>
        <w:pageBreakBefore w:val="0"/>
        <w:spacing w:line="360" w:lineRule="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100分</w:t>
      </w:r>
      <w:r/>
    </w:p>
    <w:p>
      <w:pPr>
        <w:ind w:firstLine="422"/>
        <w:jc w:val="left"/>
        <w:spacing w:line="360" w:lineRule="auto"/>
        <w:rPr>
          <w:rFonts w:ascii="宋体" w:hAnsi="宋体" w:cs="宋体"/>
          <w:b/>
          <w:bCs/>
          <w:color w:val="auto"/>
          <w:szCs w:val="21"/>
          <w:highlight w:val="none"/>
        </w:rPr>
      </w:pPr>
      <w:r/>
      <w:bookmarkStart w:id="136" w:name="_Toc10380"/>
      <w:r/>
      <w:bookmarkStart w:id="137" w:name="_Toc31309"/>
      <w:r>
        <w:rPr>
          <w:rFonts w:hint="eastAsia" w:ascii="宋体" w:hAnsi="宋体" w:cs="宋体"/>
          <w:b/>
          <w:color w:val="auto"/>
          <w:highlight w:val="none"/>
        </w:rPr>
        <w:t xml:space="preserve">（一）</w:t>
      </w:r>
      <w:bookmarkEnd w:id="136"/>
      <w:r/>
      <w:bookmarkEnd w:id="137"/>
      <w:r>
        <w:rPr>
          <w:rFonts w:hint="eastAsia" w:ascii="宋体" w:hAnsi="宋体" w:cs="宋体"/>
          <w:b/>
          <w:bCs/>
          <w:color w:val="auto"/>
          <w:szCs w:val="21"/>
          <w:highlight w:val="none"/>
        </w:rPr>
        <w:t xml:space="preserve">价格分（10分）</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第一步：投标总报价低于或等于财政预算价格的，为有效投标报价。超财政预算的投标报价为无效投标报价。无效投标报价的响应文件不得中标。</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第二步：价格分采用低价优先法计算，即满足采购文件要求且投标价格最低的投标报价为评标基准价，其价格分为满分。其他投标人的价格分统一按照下列公式计算（计算结果四舍五入保留两位小数）：</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第三步：将所有有效报价与基准报价相比较：等于基准报价的得</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分，其他投标人的价格分按照下列公式计算（计算结果四舍五入保留两位小数）：</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投标报价得分＝（评标基准价/投标报价）×</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％×100</w:t>
      </w:r>
      <w:r/>
    </w:p>
    <w:p>
      <w:pPr>
        <w:ind w:firstLine="422"/>
        <w:jc w:val="left"/>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（二）服务方案（60分）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针对本项目项目整体分析比较：由评标委员会根据技术方案的完整性、保障性、合理性优的得4分，完整性、保障性、合理性良的得3分，完整性、保障性、合理性一般的得2分，完整性、保障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针对本项目项目重难点分析及解决措施比较：由评标委员会根据技术方案的完整性、可靠性、合理性优的得4分，完整性、可靠性、合理性良的得3分，完整性、可靠性、合理性一般的得2分，完整性、可靠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针对本项目内部管理制度比较：由评标委员会根据技术方案的完整性、合理性优的得4分，完整性、合理性良的得3分，完整性、合理性一般的得2分，完整性、合理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本项目人员考核管理办法及规范用工，内部奖惩机制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5、针对本项目紧急情况制定的应急预案等，评审小组对响应单位制定的食物中毒应急、投诉处理，消防事故处理等预案进行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服务保障承诺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 7.对本项目食材制作，开餐流程，日常管理流程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8响应单位供应的菜色品种方案、荤素搭配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9.食堂人员培训计划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10.服务期间与各方的交接、协调沟通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11.根据食堂考核标准，做出的有针对性的详细执行方案、具体承诺和创新做法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12.针对本项目的优惠措施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13.服务人员安全文明规范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14．食堂节能节约计划和管理措施具有可操作性的方案的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15.食堂资产管理措施明确，具有可操作性方案的比较：由评标委员会根据技术方案的合理性、完善性、规范性、清晰性、可操作性优的得4分，合理性、完善性、规范性、清晰性、可操作性良的得3分，合理性、完善性、规范性、清晰性、可操作性一般的得2分，合理性、完善性、规范性、清晰性、可操作性较差的得1分；与本项目无关的不得分；最高4分。</w:t>
      </w:r>
      <w:r/>
    </w:p>
    <w:p>
      <w:pPr>
        <w:ind w:firstLine="422"/>
        <w:jc w:val="left"/>
        <w:spacing w:line="360" w:lineRule="auto"/>
        <w:tabs>
          <w:tab w:val="left" w:pos="2870" w:leader="none"/>
        </w:tabs>
        <w:rPr>
          <w:rFonts w:ascii="宋体" w:hAnsi="宋体" w:cs="宋体"/>
          <w:color w:val="auto"/>
          <w:szCs w:val="21"/>
          <w:highlight w:val="none"/>
        </w:rPr>
      </w:pPr>
      <w:r>
        <w:rPr>
          <w:rFonts w:hint="eastAsia" w:ascii="宋体" w:hAnsi="宋体" w:cs="宋体"/>
          <w:b/>
          <w:bCs/>
          <w:color w:val="auto"/>
          <w:szCs w:val="21"/>
          <w:highlight w:val="none"/>
        </w:rPr>
        <w:t xml:space="preserve">（三）人员服务综合素质比较（9分）  </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1、针对本项目的人员配置比较 9分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由评委根据各响应单位所提供的服务人员情况进行比较打分。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（1）项目主厨具有中式烹调师一级/高级技师及以上职业资格证书、营养师资格证书、注册中国烹饪大师资格证书，每张得2分，最高6分。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（2）项目组其他配置人员具有中式烹调师二级/高级技师及以上职业资格证书的有一个得1分，最高3分。 </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（以上证明材料需在响应文件中提供证书复印件及响应单位为其缴纳的近六个月或以上的社保证明资料，资料不全不得分；）</w:t>
      </w:r>
      <w:r/>
    </w:p>
    <w:p>
      <w:pPr>
        <w:ind w:firstLine="422"/>
        <w:jc w:val="left"/>
        <w:spacing w:line="360" w:lineRule="auto"/>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（四）响应单位综合实力比较（21分）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响应单位管理体系资质证书比较，须在认证期有效内（6分）：具有食品安全管理体系、环境管理体系、质量管理体系认证证书，有一个得2分，最高6分。（响应文件中提供证书复印件及该证书在网站查询的页面截图，资料不全不得分；）</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2、响应单位20</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年1月1日至今获得餐饮行业协会或政府部门颁发的荣誉证书情况，有一份得1分，最高为3分。（响应文件中须提供证书复印件）</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3、响应单位具有AAA级质量服务诚信单位证书的得1分，具有AAA级诚信供应商证书的得1分，本项最高为2分。（响应文件中须提供证书复印件）</w:t>
      </w:r>
      <w:r/>
    </w:p>
    <w:p>
      <w:pPr>
        <w:ind w:firstLine="420"/>
        <w:jc w:val="left"/>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4、类似项目管理工作经验（10分）</w:t>
      </w:r>
      <w:r/>
    </w:p>
    <w:p>
      <w:pPr>
        <w:ind w:firstLine="420"/>
        <w:jc w:val="left"/>
        <w:spacing w:line="360" w:lineRule="auto"/>
        <w:tabs>
          <w:tab w:val="left" w:pos="2870" w:leader="none"/>
        </w:tabs>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年1月1日以来（以合同签订时间为准）与本项目类似的食堂承包项目，有一份得2分，最高10分。响应文件中需提供服务合同（或协议）、用户反馈意见表（意见表中须标明联系人及联系电话）及服务期间任意一期发票的复印件，三者不全者不得分</w:t>
      </w:r>
      <w:r>
        <w:rPr>
          <w:rFonts w:hint="eastAsia" w:asciiTheme="minorEastAsia" w:hAnsiTheme="minorEastAsia" w:eastAsiaTheme="minorEastAsia" w:cstheme="minorEastAsia"/>
          <w:color w:val="auto"/>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1、付款步骤、项目服务期限要求如有负偏离的不得成交。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2、针对评分标准中评分的每一条，响应单位均应提供相关资料并作出相应说明供评委评判，不提供相关资料或所提供资料无法证明的视为不具备该项得分的条件。</w:t>
      </w:r>
      <w:r/>
    </w:p>
    <w:p>
      <w:pPr>
        <w:spacing w:line="360" w:lineRule="auto"/>
        <w:rPr>
          <w:rFonts w:hint="eastAsia" w:ascii="宋体" w:hAnsi="宋体" w:cs="宋体"/>
          <w:b/>
          <w:bCs/>
          <w:color w:val="000000"/>
          <w:sz w:val="21"/>
          <w:szCs w:val="21"/>
          <w:highlight w:val="none"/>
        </w:rPr>
      </w:pPr>
      <w:r>
        <w:rPr>
          <w:rFonts w:hint="eastAsia" w:ascii="宋体" w:hAnsi="宋体" w:cs="宋体"/>
          <w:b/>
          <w:bCs/>
          <w:color w:val="auto"/>
          <w:sz w:val="21"/>
          <w:szCs w:val="21"/>
          <w:highlight w:val="none"/>
        </w:rPr>
        <w:t xml:space="preserve">3、响应文件中复印件可用扫描件代替</w:t>
      </w:r>
      <w:r>
        <w:rPr>
          <w:rFonts w:hint="eastAsia" w:ascii="宋体" w:hAnsi="宋体" w:cs="宋体"/>
          <w:b/>
          <w:bCs/>
          <w:color w:val="auto"/>
          <w:sz w:val="21"/>
          <w:szCs w:val="21"/>
          <w:highlight w:val="none"/>
          <w:lang w:eastAsia="zh-CN"/>
        </w:rPr>
        <w:t xml:space="preserve">，</w:t>
      </w:r>
      <w:r>
        <w:rPr>
          <w:rFonts w:hint="eastAsia" w:ascii="宋体" w:hAnsi="宋体" w:cs="宋体"/>
          <w:b/>
          <w:bCs/>
          <w:color w:val="000000"/>
          <w:sz w:val="21"/>
          <w:szCs w:val="21"/>
          <w:highlight w:val="none"/>
        </w:rPr>
        <w:t xml:space="preserve">要求加盖公章的可用电子签章代替。</w:t>
      </w:r>
      <w:r/>
    </w:p>
    <w:p>
      <w:pPr>
        <w:pStyle w:val="723"/>
        <w:ind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ind w:firstLine="480"/>
        <w:jc w:val="both"/>
        <w:keepLines w:val="0"/>
        <w:keepNext w:val="0"/>
        <w:pageBreakBefore w:val="0"/>
        <w:spacing w:line="360" w:lineRule="auto"/>
        <w:widowControl w:val="off"/>
        <w:rPr>
          <w:rFonts w:hint="eastAsia" w:ascii="宋体" w:hAnsi="宋体" w:cs="宋体"/>
          <w:color w:val="000000"/>
          <w:sz w:val="21"/>
          <w:szCs w:val="21"/>
          <w:highlight w:val="none"/>
          <w:lang w:val="zh-CN"/>
        </w:rPr>
        <w:pBdr>
          <w:bottom w:val="none" w:color="000000" w:sz="0" w:space="0"/>
        </w:pBdr>
      </w:pPr>
      <w:r>
        <w:rPr>
          <w:rFonts w:hint="eastAsia" w:ascii="宋体" w:hAnsi="宋体" w:cs="宋体"/>
          <w:color w:val="000000"/>
          <w:sz w:val="21"/>
          <w:szCs w:val="21"/>
          <w:highlight w:val="none"/>
        </w:rPr>
        <w:t xml:space="preserve">根据苏州市吴江区政府</w:t>
      </w:r>
      <w:r>
        <w:rPr>
          <w:rFonts w:hint="eastAsia" w:ascii="宋体" w:hAnsi="宋体" w:cs="宋体"/>
          <w:color w:val="000000" w:themeColor="text1"/>
          <w:sz w:val="21"/>
          <w:szCs w:val="21"/>
          <w:highlight w:val="none"/>
        </w:rPr>
        <w:t xml:space="preserve">采购编号</w:t>
      </w:r>
      <w:r>
        <w:rPr>
          <w:rFonts w:hint="eastAsia" w:ascii="宋体" w:hAnsi="宋体" w:cs="宋体"/>
          <w:color w:val="000000" w:themeColor="text1"/>
          <w:sz w:val="21"/>
          <w:szCs w:val="21"/>
          <w:highlight w:val="none"/>
          <w:u w:val="single"/>
          <w:lang w:eastAsia="zh-CN"/>
        </w:rPr>
        <w:t xml:space="preserve">JSZC-320509-SJZB-C2026-0001</w:t>
      </w:r>
      <w:r>
        <w:rPr>
          <w:rFonts w:hint="eastAsia" w:ascii="宋体" w:hAnsi="宋体" w:cs="宋体"/>
          <w:color w:val="000000" w:themeColor="text1"/>
          <w:sz w:val="21"/>
          <w:szCs w:val="21"/>
          <w:highlight w:val="none"/>
        </w:rPr>
        <w:t xml:space="preserve">采购文件</w:t>
      </w:r>
      <w:r>
        <w:rPr>
          <w:rFonts w:hint="eastAsia" w:ascii="宋体" w:hAnsi="宋体" w:cs="宋体"/>
          <w:color w:val="000000"/>
          <w:sz w:val="21"/>
          <w:szCs w:val="21"/>
          <w:highlight w:val="none"/>
        </w:rPr>
        <w:t xml:space="preserve">及乙方的响应文件和成交通知书，甲乙各方就此次乙方成交的项目事宜，签订本合同书。</w:t>
      </w:r>
      <w:r/>
    </w:p>
    <w:p>
      <w:pPr>
        <w:spacing w:line="360" w:lineRule="auto"/>
        <w:rPr>
          <w:rFonts w:ascii="宋体" w:hAnsi="宋体" w:cs="宋体"/>
          <w:b/>
          <w:color w:val="auto"/>
          <w:sz w:val="21"/>
          <w:szCs w:val="21"/>
          <w:highlight w:val="none"/>
        </w:rPr>
      </w:pPr>
      <w:r>
        <w:rPr>
          <w:rFonts w:hint="eastAsia"/>
          <w:bCs/>
          <w:color w:val="auto"/>
          <w:sz w:val="21"/>
          <w:szCs w:val="21"/>
          <w:highlight w:val="none"/>
        </w:rPr>
        <w:t xml:space="preserve">一、</w:t>
      </w:r>
      <w:r>
        <w:rPr>
          <w:rFonts w:hint="eastAsia" w:ascii="宋体" w:hAnsi="宋体" w:cs="宋体"/>
          <w:b/>
          <w:color w:val="auto"/>
          <w:sz w:val="21"/>
          <w:szCs w:val="21"/>
          <w:highlight w:val="none"/>
        </w:rPr>
        <w:t xml:space="preserve">下列文件为本合同不可分割部分：</w:t>
      </w:r>
      <w:r/>
    </w:p>
    <w:p>
      <w:pPr>
        <w:ind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①中标通知书；</w:t>
      </w:r>
      <w:r/>
    </w:p>
    <w:p>
      <w:pPr>
        <w:ind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②采购文件； </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3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③</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乙方中标的响应文件；</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④乙方在招投标过程中所作的其它承诺、声明、书面澄清等。</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二、合同内容：</w:t>
      </w:r>
      <w:r/>
    </w:p>
    <w:p>
      <w:pPr>
        <w:pStyle w:val="729"/>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乙方负责提供甲方所需的服务，详见采购文件。</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三、合同总价范围：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全部货物和服务的报价应包括在二年服务期内食堂承包服务需要的服务管理内容、耗材、通讯、服装、胸卡、办公设备、巡检器材、各种税费、人工(包含对员工的考核奖励费用)、保险、劳保、高温费、维护、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投标报价为最终报价，除非因特殊原因并经买卖双方协商同意，响应单位不得再要求追加任何费用。同时，除非合同条款中另有规定，否则，响应单位所报价格在合同实施期间不因市场变化因素而变动。</w:t>
      </w:r>
      <w:r/>
    </w:p>
    <w:p>
      <w:pPr>
        <w:numPr>
          <w:ilvl w:val="0"/>
          <w:numId w:val="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中国政府根据现行税法征收的与本合同有关的一切税费。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四、服务期限：</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五、付款方式： 每月支付的合同价款=中标价/服务期限（按</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个月）-当月考核扣款，付款方式为次月支付上一月的费用。</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付款方式：</w:t>
      </w:r>
      <w:r>
        <w:rPr>
          <w:rFonts w:hint="eastAsia" w:ascii="宋体" w:hAnsi="宋体" w:cs="宋体"/>
          <w:color w:val="auto"/>
          <w:szCs w:val="21"/>
          <w:highlight w:val="none"/>
        </w:rPr>
        <w:t xml:space="preserve">甲方每月</w:t>
      </w:r>
      <w:r>
        <w:rPr>
          <w:rFonts w:hint="eastAsia" w:ascii="宋体" w:hAnsi="宋体" w:cs="宋体"/>
          <w:color w:val="auto"/>
          <w:szCs w:val="21"/>
          <w:highlight w:val="none"/>
          <w:lang w:val="zh-CN"/>
        </w:rPr>
        <w:t xml:space="preserve">以转帐方式直接转入</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lang w:val="zh-CN"/>
        </w:rPr>
        <w:t xml:space="preserve">的账户；</w:t>
      </w:r>
      <w:r/>
    </w:p>
    <w:p>
      <w:pPr>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六、服务质量与考核</w:t>
      </w:r>
      <w:r/>
    </w:p>
    <w:p>
      <w:pPr>
        <w:pStyle w:val="7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乙方应严格按照采购</w:t>
      </w:r>
      <w:r>
        <w:rPr>
          <w:rFonts w:hint="eastAsia" w:ascii="宋体" w:hAnsi="宋体" w:cs="宋体"/>
          <w:color w:val="auto"/>
          <w:szCs w:val="21"/>
          <w:highlight w:val="none"/>
        </w:rPr>
        <w:t xml:space="preserve">文件的有关规定提供服务，满足采购文件中所列全部要求和乙方承诺的其它指标，并由甲方按照具体项目要求进行考核。对未按规定提供服务或者部分服务不合格的，视具体情况按附表扣分 。甲方根据每月考核结果支付服务费，每月考核得分高于95分（含95分）的不扣除当月服务费，低于95分的，按考核得分（保留二位小数）进行扣款，从95分（不含95分）起扣，每少1分扣人民币1000元，不足1分的按1分计算，直接在当月服务款支付中扣除。如在服务期内考核中，月度考核累计三次低于85分以下，或单次考核得分60分以下，甲方有权直接解除合同。</w:t>
      </w:r>
      <w:r/>
    </w:p>
    <w:p>
      <w:pPr>
        <w:pStyle w:val="7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如出现食品安全卫生问题的，情节轻微的按每起1000元承担违约责任，并扣3分；出现食品中毒等严重食品安全卫生问题的按0.3万元-1万元的标准承担违约责任，并扣除5-10分；一年内出现食品安全卫生问题3次及以上，或出现食品中毒5人及以上，一次性扣除2万元，造成严重后果及社会影响的，采购单位有权无条件解除与成交单位所签订的服务合同，并要求成交单位返还已付款。（上述承担违约责任的费用采购单位直接从每月服务费中扣除）。</w:t>
      </w:r>
      <w:r/>
    </w:p>
    <w:p>
      <w:pPr>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七、双方权利义务</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（一）甲方的权利和义务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1、甲方对食堂进行管理并指派一名代表兼任日常（现场）负责人，该代表除负责日常与乙方沟通管理工作外，另负责乙方根据时令按甲方要求开具菜单的确认。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2、甲方提供厨房、餐厅及基础设施、全套厨房设备，并负责水、电、气（费用由甲方直接结算）。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3、添置、更换、维修食堂相关设备设施，由乙方提出，经甲方同意后由甲方负责购买。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4、甲方负责各类物资的采购。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5、甲方代表有权监督乙方代表核定餐厅菜式定价工作。</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7、审定乙方拟定的工作方案、管理制度。</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8、检查监督乙方工作的实施及制度的执行情况。</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9、在项目实施过程中，如发现乙方提供虚假资料或信息，甲方有权立即停止本项目并追回已付项目经费、项目荣誉和奖励，同时在媒体通告。</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（二）乙方的权利和义务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1、乙方指派一名代表（管理人员），负责食堂日常管理工作，服从甲方管理并对完成任务负总责。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2、乙方负责厨房、餐厅及基础设施、全套厨房设备的日常卫生及保洁，若财产发生人为损坏，乙方需照价赔偿。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3、乙方负责安排的食堂员工，均应持有有效健康证件，乙方所派员工劳动人事关系均由乙方负责，并负责所派食堂员工的工资福利及安全。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4、乙方负责提供甲方员工就餐服务，并负责会同甲方代表做好菜式的定价工作。</w:t>
      </w:r>
      <w:r/>
    </w:p>
    <w:p>
      <w:pPr>
        <w:ind w:firstLine="420"/>
        <w:spacing w:line="360" w:lineRule="auto"/>
        <w:tabs>
          <w:tab w:val="left" w:pos="5260" w:leader="none"/>
        </w:tabs>
        <w:rPr>
          <w:rFonts w:ascii="宋体" w:hAnsi="宋体" w:cs="宋体"/>
          <w:color w:val="auto"/>
          <w:szCs w:val="21"/>
          <w:highlight w:val="none"/>
        </w:rPr>
      </w:pPr>
      <w:r>
        <w:rPr>
          <w:rFonts w:hint="eastAsia" w:ascii="宋体" w:hAnsi="宋体" w:cs="宋体"/>
          <w:color w:val="auto"/>
          <w:szCs w:val="21"/>
          <w:highlight w:val="none"/>
        </w:rPr>
        <w:t xml:space="preserve">5、乙方负责提供餐厅工作日的</w:t>
      </w:r>
      <w:r>
        <w:rPr>
          <w:rFonts w:ascii="SimSun" w:hAnsi="SimSun" w:eastAsia="SimSun" w:cs="SimSun"/>
          <w:color w:val="000000"/>
          <w:sz w:val="21"/>
        </w:rPr>
        <w:t xml:space="preserve">每日早餐、午餐和晚餐</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周六、周日和节假日，如遇招标单位有批量人员加班或其他用餐，乙方应配合做好餐饮服务（甲方应至少提</w:t>
      </w:r>
      <w:r>
        <w:rPr>
          <w:rFonts w:hint="eastAsia" w:ascii="宋体" w:hAnsi="宋体" w:cs="宋体"/>
          <w:color w:val="000000" w:themeColor="text1"/>
          <w:szCs w:val="21"/>
          <w:highlight w:val="none"/>
        </w:rPr>
        <w:t xml:space="preserve">前</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小时</w:t>
      </w:r>
      <w:r>
        <w:rPr>
          <w:rFonts w:hint="eastAsia" w:ascii="宋体" w:hAnsi="宋体" w:cs="宋体"/>
          <w:color w:val="000000" w:themeColor="text1"/>
          <w:szCs w:val="21"/>
          <w:highlight w:val="none"/>
        </w:rPr>
        <w:t xml:space="preserve">通知乙方</w:t>
      </w:r>
      <w:r>
        <w:rPr>
          <w:rFonts w:hint="eastAsia" w:ascii="宋体" w:hAnsi="宋体" w:cs="宋体"/>
          <w:color w:val="auto"/>
          <w:szCs w:val="21"/>
          <w:highlight w:val="none"/>
        </w:rPr>
        <w:t xml:space="preserve">准备）。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6、乙方负责协助甲方做好成本核算、成本控制和财产保全工作。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7、乙方需遵守相关制度，一切因违反制度引起的后果由乙方负责。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为保证菜品的质量，乙方配合甲方每天对所进菜品进行验收，对不合格及变质材料予以退换货，查验采购的食品原料并作好台帐记录，每日各类采购物资经甲乙双方代表验收确认签字后，由乙方代表负责入库和领用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应建立健全食品卫生安全制度，食品加工操作规程和日常管理制度。严格执行食品、食品原料、食品添加剂和食品相关产品的采购查验、索证索票和台帐登记制度，未经采购查验、索证索票和台帐登记的食品、食品原料、食品添加剂和食品相关产品一律不得进入食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指派专人留样，每个品种应留足100g，在专用的冰箱内低温（2－8℃）保存48小时；留样的器具应清洗消毒后使用，留样盒上应标明留样品种的名称、留样时间、倒掉时间等信息，每个留样品种应单独加盖，留样冰箱应加锁，专人管理；留样记录应详细记载早、中、晚的品种名称，并有留样人和检查人的签名。乙方对食品安全卫生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11、食堂提供的饭菜应保质、保量、保安全，做好合理膳食配搭，确保营养丰富，食堂应做好供餐计划安排，剩余饭菜不得以任何形式隔夜再供应。每周菜式不得重复，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12、餐厨垃圾和生活垃圾分开盛放在专用的垃圾桶里，用餐结束后，推至专用的餐厨垃圾房统一等环卫部门回收处理。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13、将应急预案和就餐安全须知在食堂就餐大厅公示，加强信息公开，设立意见箱和投诉电话，定期不定期问卷收集干群意见，不断改进就餐服务工作。</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14、按合同约定，对使用人违反管理制度的行为进行处置，对违反国家法规、规章的行为，提请有关部门处理。</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15、乙方应主动接受并配合甲方及财政、审计等部门对本项目的检查、指导和监督。</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16、乙方在实施项目中的人身安全及工伤或意外事故全部由乙方承担，并应对其履行本合同开展的管理或培训或其他任何活动中因乙方过错造成他人人身、财产安全负相应法律责任。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17、完成采购文件“服务工作要求”中的其他事项。</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18、本合同终止时，乙方必须向甲方移交全部档案资料。</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19、乙方应对实施项目获知的管理、培训或活动对象的隐私或其他人身、财产信息保密，除为本项目实施之目的，不得向任何无关第三人披露，否则应当对被侵权对象承担相应法律责任。</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八、违约责任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（一）甲方违约责任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在合同生效后，甲方无故要求解除合同的，应向乙方偿付合同总价款5%的违约金，违约金不足以补偿损失的，乙方有权要求甲方补足。</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（二）乙方违约责任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1、乙方不能履行合同或者逾期履行合同，甲方有权解除合同，要求乙方返还已付款，并视实际损失情况向有权乙方追索损失。</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2、项目结束后，乙方未能按照采购文件及合同书的要求按时完成所有服务内容，甲方终期评估验收结果为不合格时，甲方有权要求乙方补偿甲方损失。</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九、不可抗力</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十、合同的解除和转让</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（一）合同的解除</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1、有下列情形之一，合同一方可以解除合同：</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pStyle w:val="725"/>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（3）如在服务期内考核中，乙方月度考核累计三次低于85分以下，或单次考核得分60分以下，甲方有权直接解除合同。</w:t>
      </w:r>
      <w:r/>
    </w:p>
    <w:p>
      <w:pPr>
        <w:pStyle w:val="725"/>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）因上级政策等原因导致本合同无法继续履行的，甲方有权解除合同，所发生的费用按实结算。</w:t>
      </w:r>
      <w:r/>
    </w:p>
    <w:p>
      <w:pPr>
        <w:ind w:firstLine="52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2、有权解除合同的一方，应当在违约事实或不可抗力发生之后及时书面通知对方以主张解除合同，合同在书面通知到达对方时解除。</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（二）合同的转让</w:t>
      </w:r>
      <w:r/>
    </w:p>
    <w:p>
      <w:pPr>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    本合同权利和义务全部不得转让，甲方因行政管理职能依法转变的除外。</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十一、合同生效及其它</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（一）合同经甲乙双方代表签字并加盖公章（或合同章）后即生效,生效后的合同送至招标代理机构上传系统公示。</w:t>
      </w:r>
      <w:r/>
    </w:p>
    <w:p>
      <w:pPr>
        <w:ind w:firstLine="315"/>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p>
    <w:p>
      <w:pPr>
        <w:pStyle w:val="720"/>
        <w:ind w:left="0" w:firstLine="0"/>
        <w:rPr>
          <w:color w:val="auto"/>
          <w:highlight w:val="none"/>
        </w:rPr>
      </w:pPr>
      <w:r>
        <w:rPr>
          <w:rFonts w:hint="eastAsia" w:ascii="宋体" w:hAnsi="宋体" w:cs="宋体"/>
          <w:color w:val="auto"/>
          <w:szCs w:val="21"/>
          <w:highlight w:val="none"/>
        </w:rPr>
        <w:t xml:space="preserve">（三）</w:t>
      </w:r>
      <w:r>
        <w:rPr>
          <w:rFonts w:hint="eastAsia" w:ascii="宋体" w:hAnsi="宋体" w:cs="宋体"/>
          <w:b w:val="0"/>
          <w:bCs/>
          <w:color w:val="auto"/>
          <w:szCs w:val="21"/>
          <w:highlight w:val="none"/>
        </w:rPr>
        <w:t xml:space="preserve">双方对服务费用存在争议的，甲方有权但无义务委托审计，乙方无条件同意按审计结果结算。</w:t>
      </w:r>
      <w:r/>
    </w:p>
    <w:p>
      <w:pPr>
        <w:ind w:firstLine="422"/>
        <w:spacing w:line="360" w:lineRule="auto"/>
        <w:tabs>
          <w:tab w:val="left" w:pos="360" w:leader="none"/>
        </w:tabs>
        <w:rPr>
          <w:rFonts w:ascii="宋体" w:hAnsi="宋体" w:cs="宋体"/>
          <w:b/>
          <w:color w:val="auto"/>
          <w:szCs w:val="21"/>
          <w:highlight w:val="none"/>
        </w:rPr>
      </w:pPr>
      <w:r>
        <w:rPr>
          <w:rFonts w:hint="eastAsia" w:ascii="宋体" w:hAnsi="宋体" w:cs="宋体"/>
          <w:b/>
          <w:color w:val="auto"/>
          <w:szCs w:val="21"/>
          <w:highlight w:val="none"/>
        </w:rPr>
        <w:t xml:space="preserve">十二、附则</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合同份数</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（一）合同份数：本合同一式六份，甲乙双方各执二份，招标代理机构及财政各一份。</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（二）未尽事宜</w:t>
      </w:r>
      <w:r/>
    </w:p>
    <w:p>
      <w:pPr>
        <w:ind w:firstLine="420"/>
        <w:spacing w:line="360" w:lineRule="auto"/>
        <w:rPr>
          <w:bCs/>
          <w:color w:val="auto"/>
          <w:szCs w:val="21"/>
          <w:highlight w:val="none"/>
        </w:rPr>
      </w:pPr>
      <w:r>
        <w:rPr>
          <w:rFonts w:hint="eastAsia" w:hAnsi="宋体" w:cs="宋体"/>
          <w:color w:val="auto"/>
          <w:szCs w:val="21"/>
          <w:highlight w:val="none"/>
        </w:rPr>
        <w:t xml:space="preserve">本合同未尽事宜应按《中华人民共和国民法典》、《中华人民共和国政府采购法》以及其同相关法律、法规之规定解释</w:t>
      </w:r>
      <w:r>
        <w:rPr>
          <w:bCs/>
          <w:color w:val="auto"/>
          <w:szCs w:val="21"/>
          <w:highlight w:val="none"/>
        </w:rPr>
        <w:t xml:space="preserve">。</w:t>
      </w:r>
      <w:r/>
    </w:p>
    <w:p>
      <w:pPr>
        <w:ind w:firstLine="539"/>
        <w:spacing w:line="440" w:lineRule="exact"/>
        <w:rPr>
          <w:color w:val="auto"/>
          <w:szCs w:val="21"/>
          <w:highlight w:val="none"/>
          <w:lang w:val="zh-CN"/>
        </w:rPr>
      </w:pPr>
      <w:r>
        <w:rPr>
          <w:color w:val="auto"/>
          <w:szCs w:val="21"/>
          <w:highlight w:val="none"/>
          <w:lang w:val="zh-CN"/>
        </w:rPr>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84"/>
        <w:gridCol w:w="4084"/>
      </w:tblGrid>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甲方（盖章）：</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乙方（盖章）：</w:t>
            </w:r>
            <w:r/>
          </w:p>
        </w:tc>
      </w:tr>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法定（授权）代表人（签字）：</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法定（授权）代表人（签字）：</w:t>
            </w:r>
            <w:r/>
          </w:p>
        </w:tc>
      </w:tr>
      <w:tr>
        <w:trPr>
          <w:jc w:val="center"/>
          <w:trHeight w:val="495"/>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电话：</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电话：</w:t>
            </w:r>
            <w:r/>
          </w:p>
        </w:tc>
      </w:tr>
      <w:tr>
        <w:trPr>
          <w:jc w:val="center"/>
          <w:trHeight w:val="91"/>
        </w:trPr>
        <w:tc>
          <w:tcPr>
            <w:tcW w:w="4084" w:type="dxa"/>
            <w:vAlign w:val="center"/>
            <w:textDirection w:val="lrTb"/>
            <w:noWrap/>
          </w:tcPr>
          <w:p>
            <w:pPr>
              <w:spacing w:line="440" w:lineRule="exact"/>
              <w:rPr>
                <w:color w:val="auto"/>
                <w:szCs w:val="21"/>
                <w:highlight w:val="none"/>
                <w:lang w:val="zh-CN"/>
              </w:rPr>
            </w:pPr>
            <w:r>
              <w:rPr>
                <w:rFonts w:hint="eastAsia"/>
                <w:color w:val="auto"/>
                <w:szCs w:val="21"/>
                <w:highlight w:val="none"/>
                <w:lang w:val="zh-CN"/>
              </w:rPr>
              <w:t xml:space="preserve">日期：</w:t>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开户银行：</w:t>
            </w:r>
            <w:r/>
          </w:p>
        </w:tc>
      </w:tr>
      <w:tr>
        <w:trPr>
          <w:jc w:val="center"/>
          <w:trHeight w:val="91"/>
        </w:trPr>
        <w:tc>
          <w:tcPr>
            <w:tcW w:w="4084" w:type="dxa"/>
            <w:vAlign w:val="center"/>
            <w:textDirection w:val="lrTb"/>
            <w:noWrap/>
          </w:tcPr>
          <w:p>
            <w:pPr>
              <w:spacing w:line="440" w:lineRule="exact"/>
              <w:rPr>
                <w:color w:val="auto"/>
                <w:szCs w:val="21"/>
                <w:highlight w:val="none"/>
                <w:lang w:val="zh-CN"/>
              </w:rPr>
            </w:pPr>
            <w:r>
              <w:rPr>
                <w:color w:val="auto"/>
                <w:szCs w:val="21"/>
                <w:highlight w:val="none"/>
                <w:lang w:val="zh-CN"/>
              </w:rPr>
            </w:r>
            <w:r/>
          </w:p>
        </w:tc>
        <w:tc>
          <w:tcPr>
            <w:tcW w:w="4084" w:type="dxa"/>
            <w:vAlign w:val="center"/>
            <w:textDirection w:val="lrTb"/>
            <w:noWrap/>
          </w:tcPr>
          <w:p>
            <w:pPr>
              <w:ind w:firstLine="210"/>
              <w:spacing w:line="440" w:lineRule="exact"/>
              <w:rPr>
                <w:color w:val="auto"/>
                <w:szCs w:val="21"/>
                <w:highlight w:val="none"/>
                <w:lang w:val="zh-CN"/>
              </w:rPr>
            </w:pPr>
            <w:r>
              <w:rPr>
                <w:rFonts w:hint="eastAsia"/>
                <w:color w:val="auto"/>
                <w:szCs w:val="21"/>
                <w:highlight w:val="none"/>
                <w:lang w:val="zh-CN"/>
              </w:rPr>
              <w:t xml:space="preserve">日期：</w:t>
            </w:r>
            <w:r/>
          </w:p>
        </w:tc>
      </w:tr>
    </w:tbl>
    <w:p>
      <w:pPr>
        <w:rPr>
          <w:rFonts w:ascii="宋体" w:hAnsi="宋体" w:cs="宋体"/>
          <w:color w:val="auto"/>
          <w:szCs w:val="21"/>
          <w:highlight w:val="none"/>
        </w:rPr>
      </w:pPr>
      <w:r>
        <w:rPr>
          <w:rFonts w:ascii="宋体" w:hAnsi="宋体" w:cs="宋体"/>
          <w:color w:val="auto"/>
          <w:szCs w:val="21"/>
          <w:highlight w:val="none"/>
        </w:rPr>
      </w:r>
      <w:r/>
    </w:p>
    <w:p>
      <w:pPr>
        <w:ind w:firstLine="2399"/>
        <w:rPr>
          <w:b/>
          <w:color w:val="auto"/>
          <w:sz w:val="44"/>
          <w:szCs w:val="44"/>
          <w:highlight w:val="none"/>
        </w:rPr>
      </w:pPr>
      <w:r>
        <w:rPr>
          <w:b/>
          <w:color w:val="auto"/>
          <w:sz w:val="44"/>
          <w:szCs w:val="44"/>
          <w:highlight w:val="none"/>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pStyle w:val="905"/>
        <w:rPr>
          <w:color w:val="000000"/>
          <w:highlight w:val="none"/>
          <w:lang w:val="en-US" w:eastAsia="zh-CN"/>
        </w:rPr>
      </w:pPr>
      <w:r>
        <w:rPr>
          <w:color w:val="000000"/>
          <w:highlight w:val="none"/>
          <w:lang w:val="en-US" w:eastAsia="zh-CN"/>
        </w:rPr>
      </w:r>
      <w:r/>
    </w:p>
    <w:p>
      <w:pPr>
        <w:jc w:val="left"/>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合同附件：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考核标准</w:t>
      </w:r>
      <w:r/>
    </w:p>
    <w:tbl>
      <w:tblPr>
        <w:tblStyle w:val="719"/>
        <w:tblW w:w="10037"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5529"/>
        <w:gridCol w:w="2124"/>
        <w:gridCol w:w="1250"/>
      </w:tblGrid>
      <w:tr>
        <w:trPr>
          <w:trHeight w:val="23"/>
          <w:tblHeader/>
        </w:trPr>
        <w:tc>
          <w:tcPr>
            <w:gridSpan w:val="2"/>
            <w:tcW w:w="666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检查考核项目</w:t>
            </w:r>
            <w:r/>
          </w:p>
        </w:tc>
        <w:tc>
          <w:tcPr>
            <w:tcW w:w="212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扣分标准</w:t>
            </w:r>
            <w:r/>
          </w:p>
        </w:tc>
        <w:tc>
          <w:tcPr>
            <w:tcW w:w="1250" w:type="dxa"/>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扣分情况</w:t>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厨房间环境卫生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1、地面、下水道、明沟积有污水、污物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2、墙壁、门窗、天花板有积尘、油污、蜘蛛网和涂层脱落</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3、有关设备、设施、用具没有保持卫生清洁</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4、厨房内垃圾桶没有及时加盖</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5、地面、灶台、厨具卫生保洁没有按规定每天定时清洗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6、冷库没有按要求做到专人负责保管、使用及定时清洗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7、无关人员进入厨房间</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粗加工、配菜、烹调卫生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1、荤、素食品没有按要求做到分池（定位）清洗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2、加工生、熟食品的刀、砧板及盛器没有分开</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3、食物加工未熟的；菜肴里或汤里、米饭里发现有杂物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4、各种盛调味品的容器没有按要求做到及时定期清洗</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5、每天配菜的数量不满足就餐人数需求</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6、食堂没有按规定要求建立卫生台帐</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个人卫生及要求</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1、员工的健康证和卫生知识培训合格证没有在有效期内，发现过期还在使用；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2、员工上班时间没有按要求穿戴工作服、衣帽、穿戴不整洁或穿拖鞋上班，个人卫生不合格</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3、员工戴的工作帽没有按要求遮盖全部头发</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4、发现上班时间工作人员在工作区内吸烟、吃零食</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5、售饭菜时员工未按要求戴一次性手套及一次性口罩的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6、检查发现人数未按投标书承诺到岗的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7、食堂工作人员将就餐人员遗失在餐厅的物品占为己有的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8、违反操作规程，故意损坏公共财物设备、工具造成经济损失的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服务以及菜肴质量</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1、服务人员未能做到热情周到，微笑服务，语言规范，文明礼貌</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2、餐台没有保持整洁卫生，饭菜供应、碗筷补充不及时</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ind w:left="210" w:hanging="210"/>
              <w:rPr>
                <w:rFonts w:ascii="宋体" w:hAnsi="宋体" w:cs="宋体"/>
                <w:color w:val="auto"/>
                <w:szCs w:val="21"/>
                <w:highlight w:val="none"/>
              </w:rPr>
            </w:pPr>
            <w:r>
              <w:rPr>
                <w:rFonts w:hint="eastAsia" w:ascii="宋体" w:hAnsi="宋体" w:cs="宋体"/>
                <w:color w:val="auto"/>
                <w:szCs w:val="21"/>
                <w:highlight w:val="none"/>
              </w:rPr>
              <w:t xml:space="preserve">3、就餐期间服务人员没有做好巡查，没有及时打扫餐桌和补充桌上调料、牙签、餐巾纸等</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4、没有全程控制菜肴主、辅料及制作过程安全卫生，因食物引起不良反应</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5、菜肴不新鲜，色泽、口味不好，有过期及腐烂变质的食物</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t xml:space="preserve">6、菜肴花色没有及时更新，一周内出现1</w:t>
            </w:r>
            <w:r>
              <w:rPr>
                <w:rFonts w:hint="eastAsia" w:ascii="宋体" w:hAnsi="宋体" w:cs="宋体"/>
                <w:color w:val="auto"/>
                <w:szCs w:val="21"/>
                <w:highlight w:val="none"/>
              </w:rPr>
              <w:t xml:space="preserve">次以上完全相同品种菜肴；没有根据季节调整菜肴</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7、素菜不隔餐，荤菜不隔夜。</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食品采购与贮存</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1、食品采购和出入库未按要求由专人负责验收、登记的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2、如验收时发现食品质量有问题或超过保质期，没有及时反映或隐瞒</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3、库房内食品没有做到分类、分架、离地、离墙整齐堆放；将食品与有毒有害物品存放在同一场所的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4、冰箱、冰柜内食品生熟混放；没有正常运转，造成食品腐烂，造成损失的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5、仓库未按规定专人负责保管，建立台帐报表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餐具、餐厅卫生</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1、餐具使用前没有做好清洗、消毒工作，直接使用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2、清洗、消毒餐具的水及水池与其它混用的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3、用餐环境没有保持清洁、卫生，有异味、苍蝇、蚊虫，天花板有蜘蛛网</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4、餐桌上摆放的餐饮用具不清洁光亮，有污迹</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5、餐桌没有随时打扫、清理</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6、备餐柜内不卫生，有异味、有杂物的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7、餐桌上摆放的调味品没有根据用量要求定期更换、清理</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8、盛放筷子、汤勺的容器不清洁卫生，有油污</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9、发现快餐盘、碗、筷子、汤勺等上面有油污、杂物的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发现一次扣0.2分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restart"/>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节能管理</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1、完成所承担服务区域的全年节电、节水、节气等节能指标</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一项未达标扣1分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2、制订年度工作目标，工作计划、具体实施方案</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缺一项扣0.5分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3、加强节能管理，制定实施切实可行的节能措施，提高用能效率，促进节能规定落到实处</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措施落实不到位酌情况予以扣分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4、提出技改方案，协助采购单位做好各项节能项目的改造，并完成技改前后能耗对比图表</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缺一项扣0.5分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vMerge w:val="continue"/>
            <w:textDirection w:val="lrTb"/>
            <w:noWrap/>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5、每周不少于4次的节能巡查，及时做好巡查记录；不定期抽查</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缺一次扣0.2分</w:t>
            </w:r>
            <w:r/>
          </w:p>
        </w:tc>
        <w:tc>
          <w:tcPr>
            <w:tcW w:w="1250"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trHeight w:val="23"/>
        </w:trPr>
        <w:tc>
          <w:tcPr>
            <w:tcW w:w="113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5529"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认真做好食品卫生保障工作，确保早餐、中餐、接待餐等的安全卫生。</w:t>
            </w:r>
            <w:r/>
          </w:p>
        </w:tc>
        <w:tc>
          <w:tcPr>
            <w:tcW w:w="2124"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如出现食品安全卫生问题的，情节轻微的按每起5000元承担违约责任，并扣3分；出现食品中毒等严重食品安全卫生问题的按2万元的标准承担违约责任，并扣除5-10分；一年内出现食品安全卫生问题3次以上，出现食品中毒5人以上，一次性扣除5万元，造成严重后果及社会影响的，采购单位有权无条件解除与中标单位所签订的服务合同。（上述承担违约责任的费用采购单位直接从服务费中扣除）</w:t>
            </w:r>
            <w:r/>
          </w:p>
        </w:tc>
        <w:tc>
          <w:tcPr>
            <w:tcW w:w="1250" w:type="dxa"/>
            <w:vAlign w:val="center"/>
            <w:textDirection w:val="lrTb"/>
            <w:noWrap/>
          </w:tcPr>
          <w:p>
            <w:pPr>
              <w:ind w:firstLine="315"/>
              <w:rPr>
                <w:rFonts w:ascii="宋体" w:hAnsi="宋体" w:cs="宋体"/>
                <w:color w:val="auto"/>
                <w:szCs w:val="21"/>
                <w:highlight w:val="none"/>
              </w:rPr>
            </w:pPr>
            <w:r>
              <w:rPr>
                <w:rFonts w:hint="eastAsia" w:ascii="宋体" w:hAnsi="宋体" w:cs="宋体"/>
                <w:color w:val="auto"/>
                <w:szCs w:val="21"/>
                <w:highlight w:val="none"/>
              </w:rPr>
              <w:t xml:space="preserve">无</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color w:val="000000"/>
          <w:highlight w:val="none"/>
          <w:lang w:val="en-US" w:eastAsia="zh-CN"/>
        </w:rPr>
      </w:pPr>
      <w:r>
        <w:rPr>
          <w:rFonts w:hint="eastAsia" w:ascii="宋体" w:hAnsi="宋体" w:cs="宋体"/>
          <w:color w:val="auto"/>
          <w:szCs w:val="21"/>
          <w:highlight w:val="none"/>
        </w:rPr>
        <w:t xml:space="preserve">注： 每月考核得分高于95分（含95分）的不扣除当月服务费，低于95分的，按考核得分（保留二位小数）进行扣款，从95分（不含95分）起扣，每少1分扣人民币1000元，不足1分的用差值法计算，直接在当月服务款支付中扣除。如在服务期内考核中，月度考核累计三次低于85分以下，或单次考核得分60分以下，甲方有权直接解除合同。</w:t>
      </w:r>
      <w:r/>
    </w:p>
    <w:p>
      <w:pPr>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p>
    <w:p>
      <w:pPr>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p>
    <w:p>
      <w:pPr>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苏州建设工程招标代理有限公司</w:t>
      </w:r>
      <w:r>
        <w:rPr>
          <w:rFonts w:hint="eastAsia" w:ascii="宋体" w:hAnsi="宋体" w:cs="宋体"/>
          <w:color w:val="000000"/>
          <w:sz w:val="24"/>
          <w:highlight w:val="none"/>
        </w:rPr>
        <w:t xml:space="preserve">：</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 w:val="0"/>
          <w:bCs/>
          <w:color w:val="000000" w:themeColor="text1"/>
          <w:sz w:val="24"/>
          <w:highlight w:val="none"/>
          <w:lang w:eastAsia="zh-CN"/>
        </w:rPr>
        <w:t xml:space="preserve">JSZC-320509-SJZB-C2026-0001</w:t>
      </w:r>
      <w:r>
        <w:rPr>
          <w:rFonts w:hint="eastAsia" w:ascii="宋体" w:hAnsi="宋体" w:cs="宋体"/>
          <w:b w:val="0"/>
          <w:bCs/>
          <w:color w:val="000000" w:themeColor="text1"/>
          <w:sz w:val="24"/>
          <w:highlight w:val="none"/>
        </w:rPr>
        <w:t xml:space="preserve">号</w:t>
      </w:r>
      <w:r>
        <w:rPr>
          <w:rFonts w:hint="eastAsia" w:ascii="宋体" w:hAnsi="宋体" w:cs="宋体"/>
          <w:color w:val="000000" w:themeColor="text1"/>
          <w:sz w:val="24"/>
          <w:highlight w:val="none"/>
        </w:rPr>
        <w:t xml:space="preserve">磋商采购</w:t>
      </w:r>
      <w:r>
        <w:rPr>
          <w:rFonts w:hint="eastAsia" w:ascii="宋体" w:hAnsi="宋体" w:cs="宋体"/>
          <w:color w:val="000000"/>
          <w:sz w:val="24"/>
          <w:highlight w:val="none"/>
        </w:rPr>
        <w:t xml:space="preserve">文件，经仔细阅读和研究，我们决定参加磋商。</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p>
    <w:p>
      <w:pPr>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p>
    <w:p>
      <w:pPr>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p>
    <w:p>
      <w:pPr>
        <w:pStyle w:val="902"/>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p>
    <w:p>
      <w:pPr>
        <w:pStyle w:val="902"/>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2"/>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2"/>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苏州建设工程招标代理有限公司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p>
    <w:tbl>
      <w:tblPr>
        <w:tblStyle w:val="71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6"/>
        </w:trPr>
        <w:tc>
          <w:tcPr>
            <w:tcMar>
              <w:left w:w="105" w:type="dxa"/>
              <w:top w:w="0" w:type="dxa"/>
              <w:right w:w="105" w:type="dxa"/>
              <w:bottom w:w="0" w:type="dxa"/>
            </w:tcMar>
            <w:tcW w:w="8565" w:type="dxa"/>
            <w:vAlign w:val="center"/>
            <w:textDirection w:val="lrTb"/>
            <w:noWrap w:val="false"/>
          </w:tcPr>
          <w:p>
            <w:pPr>
              <w:pStyle w:val="915"/>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p>
          <w:p>
            <w:pPr>
              <w:pStyle w:val="91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p>
          <w:p>
            <w:pPr>
              <w:pStyle w:val="91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p>
        </w:tc>
      </w:tr>
    </w:tbl>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6"/>
        <w:rPr>
          <w:rFonts w:hint="eastAsia"/>
          <w:color w:val="000000"/>
          <w:highlight w:val="none"/>
        </w:rPr>
      </w:pPr>
      <w:r>
        <w:rPr>
          <w:rFonts w:hint="eastAsia"/>
          <w:color w:val="000000"/>
          <w:highlight w:val="none"/>
        </w:rPr>
      </w:r>
      <w:r/>
    </w:p>
    <w:p>
      <w:pPr>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p>
    <w:p>
      <w:pPr>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w:t>
      </w:r>
      <w:r>
        <w:rPr>
          <w:rFonts w:hint="eastAsia" w:ascii="宋体" w:hAnsi="宋体" w:cs="宋体"/>
          <w:bCs/>
          <w:color w:val="000000"/>
          <w:sz w:val="24"/>
          <w:highlight w:val="none"/>
          <w:lang w:eastAsia="zh-CN"/>
        </w:rPr>
        <w:t xml:space="preserve">JSZC-320509-SJZB-C2026-0001</w:t>
      </w:r>
      <w:r>
        <w:rPr>
          <w:rFonts w:hint="eastAsia" w:ascii="宋体" w:hAnsi="宋体" w:cs="宋体"/>
          <w:bCs/>
          <w:color w:val="000000"/>
          <w:sz w:val="24"/>
          <w:highlight w:val="none"/>
        </w:rPr>
        <w:t xml:space="preserve">号</w:t>
      </w:r>
      <w:r/>
    </w:p>
    <w:tbl>
      <w:tblPr>
        <w:tblStyle w:val="719"/>
        <w:tblW w:w="9019" w:type="dxa"/>
        <w:tblInd w:w="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0"/>
        <w:gridCol w:w="2194"/>
        <w:gridCol w:w="3046"/>
        <w:gridCol w:w="2769"/>
      </w:tblGrid>
      <w:tr>
        <w:trPr>
          <w:trHeight w:val="602"/>
        </w:trPr>
        <w:tc>
          <w:tcPr>
            <w:tcBorders>
              <w:bottom w:val="single" w:color="000000" w:sz="4" w:space="0"/>
              <w:right w:val="single" w:color="000000" w:sz="4" w:space="0"/>
            </w:tcBorders>
            <w:tcW w:w="1010"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p>
        </w:tc>
        <w:tc>
          <w:tcPr>
            <w:tcBorders>
              <w:left w:val="single" w:color="000000" w:sz="4" w:space="0"/>
              <w:bottom w:val="single" w:color="000000" w:sz="4" w:space="0"/>
              <w:right w:val="single" w:color="000000" w:sz="4" w:space="0"/>
            </w:tcBorders>
            <w:tcW w:w="2194"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p>
        </w:tc>
        <w:tc>
          <w:tcPr>
            <w:tcBorders>
              <w:left w:val="single" w:color="000000" w:sz="4" w:space="0"/>
              <w:bottom w:val="single" w:color="000000" w:sz="4" w:space="0"/>
              <w:right w:val="single" w:color="000000" w:sz="4" w:space="0"/>
            </w:tcBorders>
            <w:tcW w:w="3046"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磋商响应总报价（元）</w:t>
            </w:r>
            <w:r/>
          </w:p>
        </w:tc>
        <w:tc>
          <w:tcPr>
            <w:tcBorders>
              <w:left w:val="single" w:color="000000" w:sz="4" w:space="0"/>
              <w:bottom w:val="single" w:color="000000" w:sz="4" w:space="0"/>
            </w:tcBorders>
            <w:tcW w:w="2769"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p>
        </w:tc>
      </w:tr>
      <w:tr>
        <w:trPr>
          <w:trHeight w:val="602"/>
        </w:trPr>
        <w:tc>
          <w:tcPr>
            <w:tcBorders>
              <w:top w:val="single" w:color="000000" w:sz="4" w:space="0"/>
              <w:bottom w:val="single" w:color="000000" w:sz="4" w:space="0"/>
              <w:right w:val="single" w:color="000000" w:sz="4" w:space="0"/>
            </w:tcBorders>
            <w:tcW w:w="1010" w:type="dxa"/>
            <w:vAlign w:val="center"/>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Borders>
              <w:top w:val="single" w:color="000000" w:sz="4" w:space="0"/>
              <w:left w:val="single" w:color="000000" w:sz="4" w:space="0"/>
              <w:bottom w:val="single" w:color="000000" w:sz="4" w:space="0"/>
            </w:tcBorders>
            <w:tcW w:w="2769" w:type="dxa"/>
            <w:vAlign w:val="top"/>
            <w:textDirection w:val="lrTb"/>
            <w:noWrap w:val="false"/>
          </w:tcPr>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zCs w:val="21"/>
                <w:highlight w:val="none"/>
                <w:lang w:val="en-US" w:eastAsia="zh-CN"/>
              </w:rPr>
              <w:t xml:space="preserve">自合同生效之日起二年</w:t>
            </w:r>
            <w:r>
              <w:rPr>
                <w:rFonts w:hint="eastAsia" w:ascii="宋体" w:hAnsi="宋体" w:cs="宋体"/>
                <w:color w:val="000000"/>
                <w:szCs w:val="21"/>
                <w:highlight w:val="none"/>
              </w:rPr>
              <w:t xml:space="preserve">。</w:t>
            </w:r>
            <w:r/>
          </w:p>
        </w:tc>
      </w:tr>
      <w:tr>
        <w:trPr>
          <w:trHeight w:val="567"/>
        </w:trPr>
        <w:tc>
          <w:tcPr>
            <w:gridSpan w:val="4"/>
            <w:tcBorders>
              <w:top w:val="single" w:color="000000" w:sz="4" w:space="0"/>
            </w:tcBorders>
            <w:tcW w:w="9019" w:type="dxa"/>
            <w:vAlign w:val="bottom"/>
            <w:textDirection w:val="lrTb"/>
            <w:noWrap w:val="false"/>
          </w:tcPr>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磋商响应总报价</w:t>
            </w:r>
            <w:r>
              <w:rPr>
                <w:rFonts w:hint="eastAsia" w:ascii="宋体" w:hAnsi="宋体" w:cs="宋体"/>
                <w:color w:val="000000"/>
                <w:spacing w:val="20"/>
                <w:sz w:val="24"/>
                <w:highlight w:val="none"/>
                <w:lang w:val="zh-CN"/>
              </w:rPr>
              <w:t xml:space="preserve">（人民币大写）：</w:t>
            </w:r>
            <w:r/>
          </w:p>
        </w:tc>
      </w:tr>
    </w:tbl>
    <w:p>
      <w:pPr>
        <w:pStyle w:val="902"/>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如本格式与“苏采云”格式冲突的，以苏采云格式为准。</w:t>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p>
    <w:p>
      <w:pPr>
        <w:ind w:firstLine="560"/>
        <w:spacing w:line="360" w:lineRule="auto"/>
        <w:rPr>
          <w:rFonts w:hint="eastAsia" w:ascii="宋体" w:hAnsi="宋体" w:eastAsia="宋体" w:cs="宋体"/>
          <w:b/>
          <w:bCs/>
          <w:color w:val="000000"/>
          <w:sz w:val="24"/>
          <w:highlight w:val="none"/>
          <w:lang w:eastAsia="zh-CN"/>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lang w:val="en-US" w:eastAsia="zh-CN"/>
        </w:rPr>
        <w:t xml:space="preserve">   年   月   日</w:t>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95"/>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p>
    <w:p>
      <w:pPr>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p>
    <w:tbl>
      <w:tblPr>
        <w:tblStyle w:val="7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jc w:val="center"/>
          <w:trHeight w:val="50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3055"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单价（元）</w:t>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数量</w:t>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cantSplit/>
          <w:jc w:val="center"/>
          <w:trHeight w:val="427"/>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39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42" w:type="dxa"/>
            <w:vAlign w:val="center"/>
            <w:textDirection w:val="lrTb"/>
            <w:noWrap/>
          </w:tcPr>
          <w:p>
            <w:pPr>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3055" w:type="dxa"/>
            <w:vAlign w:val="center"/>
            <w:textDirection w:val="lrTb"/>
            <w:noWrap/>
          </w:tcPr>
          <w:p>
            <w:pPr>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93" w:type="dxa"/>
            <w:vAlign w:val="center"/>
            <w:textDirection w:val="lrTb"/>
            <w:noWrap/>
          </w:tcPr>
          <w:p>
            <w:pPr>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443"/>
        </w:trPr>
        <w:tc>
          <w:tcPr>
            <w:tcW w:w="940"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3055" w:type="dxa"/>
            <w:vAlign w:val="center"/>
            <w:textDirection w:val="lrTb"/>
            <w:noWrap/>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93" w:type="dxa"/>
            <w:vAlign w:val="center"/>
            <w:textDirection w:val="lrTb"/>
            <w:noWrap/>
          </w:tcPr>
          <w:p>
            <w:pPr>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518"/>
        </w:trPr>
        <w:tc>
          <w:tcPr>
            <w:gridSpan w:val="2"/>
            <w:tcW w:w="3995" w:type="dxa"/>
            <w:vAlign w:val="center"/>
            <w:textDirection w:val="lrTb"/>
            <w:noWrap/>
          </w:tcPr>
          <w:p>
            <w:pPr>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p>
        </w:tc>
        <w:tc>
          <w:tcPr>
            <w:gridSpan w:val="4"/>
            <w:tcW w:w="5293" w:type="dxa"/>
            <w:vAlign w:val="center"/>
            <w:textDirection w:val="lrTb"/>
            <w:noWrap/>
          </w:tcPr>
          <w:p>
            <w:p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p>
        </w:tc>
      </w:tr>
    </w:tbl>
    <w:p>
      <w:pPr>
        <w:pStyle w:val="902"/>
        <w:ind w:firstLine="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注：磋商</w:t>
      </w:r>
      <w:r>
        <w:rPr>
          <w:rFonts w:hint="eastAsia" w:ascii="宋体" w:hAnsi="宋体" w:cs="宋体"/>
          <w:b/>
          <w:color w:val="000000"/>
          <w:sz w:val="24"/>
          <w:highlight w:val="none"/>
        </w:rPr>
        <w:t xml:space="preserve">报价</w:t>
      </w:r>
      <w:r>
        <w:rPr>
          <w:rFonts w:hint="eastAsia" w:ascii="宋体" w:hAnsi="宋体" w:cs="宋体"/>
          <w:b/>
          <w:bCs/>
          <w:color w:val="000000"/>
          <w:sz w:val="24"/>
          <w:szCs w:val="24"/>
          <w:highlight w:val="none"/>
        </w:rPr>
        <w:t xml:space="preserve">分析表</w:t>
      </w:r>
      <w:r>
        <w:rPr>
          <w:rFonts w:hint="eastAsia" w:ascii="宋体" w:hAnsi="宋体" w:eastAsia="宋体" w:cs="宋体"/>
          <w:b/>
          <w:bCs/>
          <w:color w:val="000000"/>
          <w:sz w:val="24"/>
          <w:szCs w:val="24"/>
          <w:highlight w:val="none"/>
          <w:lang w:val="en-US" w:eastAsia="zh-CN"/>
        </w:rPr>
        <w:t xml:space="preserve">应与</w:t>
      </w:r>
      <w:r>
        <w:rPr>
          <w:rFonts w:hint="eastAsia" w:ascii="宋体" w:hAnsi="宋体" w:eastAsia="宋体" w:cs="宋体"/>
          <w:b/>
          <w:bCs/>
          <w:color w:val="000000"/>
          <w:sz w:val="24"/>
          <w:szCs w:val="24"/>
          <w:highlight w:val="none"/>
          <w:lang w:eastAsia="zh-CN"/>
        </w:rPr>
        <w:t xml:space="preserve">磋</w:t>
      </w:r>
      <w:r>
        <w:rPr>
          <w:rFonts w:hint="eastAsia" w:ascii="宋体" w:hAnsi="宋体" w:cs="宋体"/>
          <w:b/>
          <w:bCs/>
          <w:color w:val="000000"/>
          <w:sz w:val="24"/>
          <w:szCs w:val="24"/>
          <w:highlight w:val="none"/>
          <w:lang w:eastAsia="zh-CN"/>
        </w:rPr>
        <w:t xml:space="preserve">商响应报价一览表</w:t>
      </w:r>
      <w:r>
        <w:rPr>
          <w:rFonts w:hint="eastAsia" w:ascii="宋体" w:hAnsi="宋体" w:cs="宋体"/>
          <w:b/>
          <w:bCs/>
          <w:color w:val="000000"/>
          <w:sz w:val="24"/>
          <w:szCs w:val="24"/>
          <w:highlight w:val="none"/>
        </w:rPr>
        <w:t xml:space="preserve">总价一致，否则以</w:t>
      </w:r>
      <w:r>
        <w:rPr>
          <w:rFonts w:hint="eastAsia" w:ascii="宋体" w:hAnsi="宋体" w:cs="宋体"/>
          <w:b/>
          <w:bCs/>
          <w:color w:val="000000"/>
          <w:sz w:val="24"/>
          <w:szCs w:val="24"/>
          <w:highlight w:val="none"/>
          <w:lang w:eastAsia="zh-CN"/>
        </w:rPr>
        <w:t xml:space="preserve">磋商响应报价一览表</w:t>
      </w:r>
      <w:r>
        <w:rPr>
          <w:rFonts w:hint="eastAsia" w:ascii="宋体" w:hAnsi="宋体" w:cs="宋体"/>
          <w:b/>
          <w:bCs/>
          <w:color w:val="000000"/>
          <w:sz w:val="24"/>
          <w:szCs w:val="24"/>
          <w:highlight w:val="none"/>
        </w:rPr>
        <w:t xml:space="preserve">为准。</w:t>
      </w:r>
      <w:r/>
    </w:p>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w:t>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p>
    <w:tbl>
      <w:tblPr>
        <w:tblStyle w:val="719"/>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1440" w:type="dxa"/>
            <w:vAlign w:val="center"/>
            <w:textDirection w:val="lrTb"/>
            <w:noWrap w:val="false"/>
          </w:tcPr>
          <w:p>
            <w:pPr>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p>
        </w:tc>
        <w:tc>
          <w:tcPr>
            <w:tcW w:w="169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p>
        </w:tc>
        <w:tc>
          <w:tcPr>
            <w:tcW w:w="1757"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注：1.磋商响应单位应对照采购文件技术要求等要求，所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标的物（服务）与采购文件的规定有偏离的，应在此表中申明与技术要求条文的偏差和例外。</w:t>
      </w:r>
      <w:r/>
    </w:p>
    <w:p>
      <w:pPr>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p>
    <w:p>
      <w:pPr>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p>
    <w:p>
      <w:pPr>
        <w:pStyle w:val="902"/>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p>
    <w:tbl>
      <w:tblPr>
        <w:tblStyle w:val="719"/>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p>
        </w:tc>
        <w:tc>
          <w:tcPr>
            <w:tcW w:w="171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p>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9"/>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p>
    <w:p>
      <w:pPr>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themeColor="text1"/>
          <w:sz w:val="24"/>
          <w:highlight w:val="none"/>
        </w:rPr>
        <w:t xml:space="preserve">磋商编号： </w:t>
      </w:r>
      <w:r>
        <w:rPr>
          <w:rFonts w:hint="eastAsia" w:ascii="宋体" w:hAnsi="宋体" w:cs="宋体"/>
          <w:bCs/>
          <w:color w:val="000000" w:themeColor="text1"/>
          <w:sz w:val="24"/>
          <w:highlight w:val="none"/>
          <w:lang w:eastAsia="zh-CN"/>
        </w:rPr>
        <w:t xml:space="preserve">JSZC-320509-SJZB-C2026-0001</w:t>
      </w:r>
      <w:r>
        <w:rPr>
          <w:rFonts w:hint="eastAsia" w:ascii="宋体" w:hAnsi="宋体" w:cs="宋体"/>
          <w:bCs/>
          <w:color w:val="000000" w:themeColor="text1"/>
          <w:sz w:val="24"/>
          <w:highlight w:val="none"/>
        </w:rPr>
        <w:t xml:space="preserve">号</w:t>
      </w:r>
      <w:r>
        <w:rPr>
          <w:color w:val="000000" w:themeColor="text1"/>
        </w:rPr>
      </w:r>
    </w:p>
    <w:tbl>
      <w:tblPr>
        <w:tblStyle w:val="719"/>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748"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p>
        </w:tc>
        <w:tc>
          <w:tcPr>
            <w:tcW w:w="850"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p>
        </w:tc>
        <w:tc>
          <w:tcPr>
            <w:tcW w:w="922"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p>
        </w:tc>
        <w:tc>
          <w:tcPr>
            <w:tcW w:w="967"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p>
        </w:tc>
        <w:tc>
          <w:tcPr>
            <w:tcW w:w="698"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p>
        </w:tc>
        <w:tc>
          <w:tcPr>
            <w:tcW w:w="862"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p>
        </w:tc>
        <w:tc>
          <w:tcPr>
            <w:tcW w:w="1654" w:type="dxa"/>
            <w:vAlign w:val="center"/>
            <w:textDirection w:val="lrTb"/>
            <w:noWrap/>
          </w:tcPr>
          <w:p>
            <w:pPr>
              <w:pStyle w:val="91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备  注</w:t>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80"/>
        </w:trPr>
        <w:tc>
          <w:tcPr>
            <w:tcW w:w="649"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74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5"/>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p>
    <w:p>
      <w:pPr>
        <w:pStyle w:val="913"/>
        <w:jc w:val="left"/>
        <w:spacing w:before="0" w:after="0"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t xml:space="preserve">日期：</w:t>
      </w:r>
      <w:r>
        <w:rPr>
          <w:rFonts w:hint="eastAsia" w:ascii="宋体" w:hAnsi="宋体" w:eastAsia="宋体" w:cs="宋体"/>
          <w:color w:val="000000"/>
          <w:sz w:val="24"/>
          <w:szCs w:val="24"/>
          <w:highlight w:val="none"/>
        </w:rPr>
        <w:t xml:space="preserve">       年    月   日</w:t>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7"/>
        <w:numPr>
          <w:ilvl w:val="2"/>
          <w:numId w:val="0"/>
        </w:numPr>
        <w:pageBreakBefore/>
        <w:rPr>
          <w:rFonts w:hint="eastAsia" w:ascii="宋体" w:hAnsi="宋体" w:cs="宋体"/>
          <w:color w:val="000000"/>
          <w:sz w:val="24"/>
          <w:highlight w:val="none"/>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rPr>
        <w:t xml:space="preserve">8.</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"http://www.zfcg.suzhou.gov.cn/szzfcg/Upfiles/Fi</w:instrText>
      </w:r>
      <w:r>
        <w:rPr>
          <w:rFonts w:hint="eastAsia" w:ascii="宋体" w:hAnsi="宋体" w:cs="宋体"/>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color w:val="000000"/>
          <w:sz w:val="24"/>
          <w:highlight w:val="none"/>
        </w:rPr>
        <w:fldChar w:fldCharType="separate"/>
      </w:r>
      <w:bookmarkStart w:id="138" w:name="_Toc293925515"/>
      <w:r>
        <w:rPr>
          <w:rFonts w:hint="eastAsia" w:ascii="宋体" w:hAnsi="宋体" w:cs="宋体"/>
          <w:color w:val="000000"/>
          <w:sz w:val="24"/>
          <w:highlight w:val="none"/>
        </w:rPr>
        <w:t xml:space="preserve">设备配备清单表</w:t>
      </w:r>
      <w:bookmarkEnd w:id="138"/>
      <w:r>
        <w:rPr>
          <w:rFonts w:hint="eastAsia" w:ascii="宋体" w:hAnsi="宋体" w:cs="宋体"/>
          <w:color w:val="000000"/>
          <w:sz w:val="24"/>
          <w:highlight w:val="none"/>
        </w:rPr>
        <w:fldChar w:fldCharType="end"/>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本项目投入设备清单表</w:t>
      </w:r>
      <w:r/>
    </w:p>
    <w:p>
      <w:pPr>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JSZC-320509-SJZB-C2026-0001</w:t>
      </w:r>
      <w:r>
        <w:rPr>
          <w:rFonts w:hint="eastAsia" w:ascii="宋体" w:hAnsi="宋体" w:cs="宋体"/>
          <w:bCs/>
          <w:color w:val="000000"/>
          <w:sz w:val="24"/>
          <w:highlight w:val="none"/>
        </w:rPr>
        <w:t xml:space="preserve">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设备性质</w:t>
            </w:r>
            <w:r/>
          </w:p>
          <w:p>
            <w:pPr>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（自有/租赁/承诺）</w:t>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p>
    <w:p>
      <w:pPr>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eastAsia="宋体" w:cs="宋体"/>
          <w:color w:val="000000"/>
          <w:sz w:val="24"/>
          <w:szCs w:val="24"/>
          <w:highlight w:val="none"/>
        </w:rPr>
        <w:t xml:space="preserve">       年    月   日</w:t>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附件9.</w:t>
      </w:r>
      <w:r>
        <w:rPr>
          <w:rFonts w:hint="eastAsia" w:ascii="宋体" w:hAnsi="宋体" w:cs="宋体"/>
          <w:b/>
          <w:bCs/>
          <w:color w:val="000000"/>
          <w:sz w:val="24"/>
          <w:highlight w:val="none"/>
          <w:lang w:val="zh-CN"/>
        </w:rPr>
        <w:t xml:space="preserve">关于资格文件的声明函</w:t>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p>
    <w:p>
      <w:pPr>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jc w:val="left"/>
        <w:spacing w:line="360" w:lineRule="auto"/>
        <w:rPr>
          <w:rFonts w:hint="eastAsia" w:ascii="宋体" w:hAnsi="宋体" w:cs="宋体"/>
          <w:color w:val="000000"/>
          <w:sz w:val="24"/>
          <w:highlight w:val="none"/>
          <w:lang w:val="zh-CN"/>
        </w:rPr>
      </w:pP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lang w:val="zh-CN"/>
        </w:rPr>
        <w:t xml:space="preserve">：</w:t>
      </w:r>
      <w:r/>
    </w:p>
    <w:p>
      <w:pPr>
        <w:pStyle w:val="902"/>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902"/>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p>
    <w:p>
      <w:pPr>
        <w:pStyle w:val="902"/>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p>
    <w:p>
      <w:pPr>
        <w:pStyle w:val="902"/>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p>
    <w:p>
      <w:pPr>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附件10</w:t>
      </w:r>
      <w:r>
        <w:rPr>
          <w:rFonts w:hint="eastAsia" w:ascii="宋体" w:hAnsi="宋体" w:cs="宋体"/>
          <w:b/>
          <w:bCs/>
          <w:color w:val="000000"/>
          <w:sz w:val="24"/>
          <w:highlight w:val="none"/>
          <w:lang w:val="zh-CN"/>
        </w:rPr>
        <w:t xml:space="preserve">.磋商响应单位基本情况表</w:t>
      </w:r>
      <w:r/>
    </w:p>
    <w:p>
      <w:pPr>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p>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p>
    <w:tbl>
      <w:tblPr>
        <w:tblStyle w:val="719"/>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423"/>
        <w:gridCol w:w="1603"/>
        <w:gridCol w:w="1235"/>
        <w:gridCol w:w="1953"/>
        <w:gridCol w:w="1105"/>
      </w:tblGrid>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1603"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p>
        </w:tc>
        <w:tc>
          <w:tcPr>
            <w:gridSpan w:val="2"/>
            <w:tcW w:w="3058"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p>
        </w:tc>
        <w:tc>
          <w:tcPr>
            <w:tcW w:w="1603"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p>
        </w:tc>
        <w:tc>
          <w:tcPr>
            <w:gridSpan w:val="2"/>
            <w:tcW w:w="3058" w:type="dxa"/>
            <w:vAlign w:val="top"/>
            <w:textDirection w:val="lrTb"/>
            <w:noWrap/>
          </w:tcPr>
          <w:p>
            <w:pPr>
              <w:pStyle w:val="902"/>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4"/>
            <w:tcW w:w="5896"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p>
        </w:tc>
        <w:tc>
          <w:tcPr>
            <w:tcW w:w="1603"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8"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p>
        </w:tc>
        <w:tc>
          <w:tcPr>
            <w:tcW w:w="1105"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p>
        </w:tc>
        <w:tc>
          <w:tcPr>
            <w:tcW w:w="160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c>
          <w:tcPr>
            <w:tcW w:w="1235"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p>
        </w:tc>
        <w:tc>
          <w:tcPr>
            <w:gridSpan w:val="2"/>
            <w:tcW w:w="3058"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trPr>
        <w:tc>
          <w:tcPr>
            <w:tcW w:w="342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p>
        </w:tc>
        <w:tc>
          <w:tcPr>
            <w:tcW w:w="160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c>
          <w:tcPr>
            <w:tcW w:w="1235"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p>
        </w:tc>
        <w:tc>
          <w:tcPr>
            <w:gridSpan w:val="2"/>
            <w:tcW w:w="3058"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p>
        </w:tc>
        <w:tc>
          <w:tcPr>
            <w:tcW w:w="160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2024年 万元</w:t>
            </w:r>
            <w:r/>
          </w:p>
        </w:tc>
        <w:tc>
          <w:tcPr>
            <w:tcW w:w="1235"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058"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p>
        </w:tc>
        <w:tc>
          <w:tcPr>
            <w:tcW w:w="160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p>
        </w:tc>
        <w:tc>
          <w:tcPr>
            <w:tcW w:w="1235"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p>
        </w:tc>
        <w:tc>
          <w:tcPr>
            <w:gridSpan w:val="2"/>
            <w:tcW w:w="3058"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p>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p>
        </w:tc>
      </w:tr>
      <w:tr>
        <w:trPr>
          <w:cantSplit/>
        </w:trPr>
        <w:tc>
          <w:tcPr>
            <w:tcW w:w="3423" w:type="dxa"/>
            <w:vAlign w:val="center"/>
            <w:textDirection w:val="lrTb"/>
            <w:noWrap/>
          </w:tcPr>
          <w:p>
            <w:pPr>
              <w:pStyle w:val="902"/>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p>
        </w:tc>
        <w:tc>
          <w:tcPr>
            <w:tcW w:w="160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902"/>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p>
        </w:tc>
        <w:tc>
          <w:tcPr>
            <w:gridSpan w:val="2"/>
            <w:tcW w:w="3058"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center"/>
            <w:textDirection w:val="lrTb"/>
            <w:noWrap/>
          </w:tcPr>
          <w:p>
            <w:pPr>
              <w:pStyle w:val="902"/>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p>
        </w:tc>
        <w:tc>
          <w:tcPr>
            <w:tcW w:w="1603" w:type="dxa"/>
            <w:vAlign w:val="center"/>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top"/>
            <w:textDirection w:val="lrTb"/>
            <w:noWrap/>
          </w:tcPr>
          <w:p>
            <w:pPr>
              <w:pStyle w:val="902"/>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p>
        </w:tc>
        <w:tc>
          <w:tcPr>
            <w:gridSpan w:val="2"/>
            <w:tcW w:w="3058"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423" w:type="dxa"/>
            <w:vAlign w:val="top"/>
            <w:textDirection w:val="lrTb"/>
            <w:noWrap/>
          </w:tcPr>
          <w:p>
            <w:pPr>
              <w:pStyle w:val="902"/>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423"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c>
          <w:tcPr>
            <w:gridSpan w:val="4"/>
            <w:tcW w:w="5896" w:type="dxa"/>
            <w:vAlign w:val="top"/>
            <w:textDirection w:val="lrTb"/>
            <w:noWrap/>
          </w:tcPr>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t xml:space="preserve">附件11</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p>
    <w:p>
      <w:pPr>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p>
    <w:tbl>
      <w:tblPr>
        <w:tblStyle w:val="719"/>
        <w:tblW w:w="89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jc w:val="center"/>
          <w:trHeight w:val="696"/>
        </w:trPr>
        <w:tc>
          <w:tcPr>
            <w:tcW w:w="755"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W w:w="3137"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p>
        </w:tc>
        <w:tc>
          <w:tcPr>
            <w:tcW w:w="4107"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提供最近一期（2024年度）经审计的财务报告或最近一期的财务报表，或银行出具的资信证明，或财政部门认可的政府采购专业担保机构出具的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2"/>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2"/>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5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p>
        </w:tc>
      </w:tr>
      <w:tr>
        <w:trPr>
          <w:jc w:val="center"/>
          <w:trHeight w:val="660"/>
        </w:trPr>
        <w:tc>
          <w:tcPr>
            <w:tcW w:w="755" w:type="dxa"/>
            <w:vAlign w:val="center"/>
            <w:textDirection w:val="lrTb"/>
            <w:noWrap w:val="false"/>
          </w:tcPr>
          <w:p>
            <w:pPr>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p>
        </w:tc>
      </w:tr>
      <w:tr>
        <w:trPr>
          <w:jc w:val="center"/>
          <w:trHeight w:val="660"/>
        </w:trPr>
        <w:tc>
          <w:tcPr>
            <w:tcW w:w="755"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313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p>
        </w:tc>
        <w:tc>
          <w:tcPr>
            <w:tcW w:w="953"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p>
        </w:tc>
      </w:tr>
    </w:tbl>
    <w:p>
      <w:pPr>
        <w:pStyle w:val="915"/>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p>
    <w:p>
      <w:pPr>
        <w:pStyle w:val="915"/>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p>
    <w:p>
      <w:pPr>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902"/>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2"/>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2"/>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附件12.</w:t>
      </w:r>
      <w:r>
        <w:rPr>
          <w:rFonts w:hint="eastAsia" w:ascii="宋体" w:hAnsi="宋体" w:cs="宋体"/>
          <w:b/>
          <w:bCs/>
          <w:color w:val="000000"/>
          <w:sz w:val="24"/>
          <w:highlight w:val="none"/>
          <w:lang w:val="zh-CN"/>
        </w:rPr>
        <w:t xml:space="preserve">中小企业声明资料</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p>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p>
    <w:p>
      <w:p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p>
    <w:p>
      <w:pPr>
        <w:pStyle w:val="929"/>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29"/>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24"/>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附件13.</w:t>
      </w:r>
      <w:bookmarkStart w:id="139" w:name="OLE_LINK14"/>
      <w:r/>
      <w:bookmarkStart w:id="140" w:name="OLE_LINK13"/>
      <w:r>
        <w:rPr>
          <w:rFonts w:hint="eastAsia" w:ascii="宋体" w:hAnsi="宋体" w:cs="宋体"/>
          <w:b/>
          <w:color w:val="000000"/>
          <w:sz w:val="24"/>
          <w:highlight w:val="none"/>
        </w:rPr>
        <w:t xml:space="preserve"> 残疾人福利性单位声明函</w:t>
      </w:r>
      <w:r/>
    </w:p>
    <w:p>
      <w:pPr>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9"/>
      <w:r/>
      <w:bookmarkEnd w:id="140"/>
      <w:r/>
      <w:r/>
    </w:p>
    <w:p>
      <w:pP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p>
    <w:p>
      <w:pPr>
        <w:ind w:right="1560" w:firstLine="444"/>
        <w:jc w:val="center"/>
        <w:spacing w:line="360" w:lineRule="auto"/>
        <w:tabs>
          <w:tab w:val="left" w:pos="4860" w:leader="none"/>
        </w:tabs>
        <w:rPr>
          <w:rFonts w:hint="eastAsia" w:ascii="宋体" w:hAnsi="宋体" w:cs="宋体"/>
          <w:color w:val="000000"/>
          <w:spacing w:val="6"/>
          <w:sz w:val="24"/>
          <w:highlight w:val="none"/>
          <w:lang w:val="en-US" w:eastAsia="zh-CN"/>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lang w:val="en-US" w:eastAsia="zh-CN"/>
        </w:rPr>
        <w:t xml:space="preserve"> </w:t>
      </w:r>
      <w:r/>
    </w:p>
    <w:p>
      <w:pPr>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eastAsia="宋体" w:cs="宋体"/>
          <w:color w:val="000000"/>
          <w:sz w:val="24"/>
          <w:szCs w:val="24"/>
          <w:highlight w:val="none"/>
        </w:rPr>
        <w:t xml:space="preserve">       年    月   日</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6"/>
        <w:rPr>
          <w:rFonts w:hint="eastAsia"/>
          <w:color w:val="000000"/>
          <w:highlight w:val="none"/>
          <w:lang w:val="zh-CN"/>
        </w:rPr>
      </w:pPr>
      <w:r>
        <w:rPr>
          <w:rFonts w:hint="eastAsia"/>
          <w:color w:val="000000"/>
          <w:highlight w:val="none"/>
          <w:lang w:val="zh-CN"/>
        </w:rPr>
      </w:r>
      <w:r/>
    </w:p>
    <w:p>
      <w:pPr>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附件14.投标（响应）保证承诺书</w:t>
      </w:r>
      <w:r/>
    </w:p>
    <w:p>
      <w:pPr>
        <w:pStyle w:val="90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投标（响应）保证承诺书</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p>
    <w:p>
      <w:pPr>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投标（响应）人（盖公章）：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地址：</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电话：</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传真：</w:t>
      </w:r>
      <w:r>
        <w:rPr>
          <w:rFonts w:hint="eastAsia" w:ascii="宋体" w:hAnsi="宋体" w:cs="宋体"/>
          <w:color w:val="000000"/>
          <w:spacing w:val="6"/>
          <w:sz w:val="24"/>
          <w:highlight w:val="none"/>
          <w:u w:val="single"/>
        </w:rPr>
        <w:t xml:space="preserve">                         </w:t>
      </w:r>
      <w:r/>
    </w:p>
    <w:p>
      <w:pPr>
        <w:ind w:firstLine="333"/>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电子邮件：</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邮编：</w:t>
      </w:r>
      <w:r>
        <w:rPr>
          <w:rFonts w:hint="eastAsia" w:ascii="宋体" w:hAnsi="宋体" w:cs="宋体"/>
          <w:color w:val="000000"/>
          <w:spacing w:val="6"/>
          <w:sz w:val="24"/>
          <w:highlight w:val="none"/>
          <w:u w:val="single"/>
        </w:rPr>
        <w:t xml:space="preserve">                      </w:t>
      </w:r>
      <w:r/>
    </w:p>
    <w:p>
      <w:pPr>
        <w:ind w:firstLine="333"/>
        <w:spacing w:line="360" w:lineRule="auto"/>
        <w:rPr>
          <w:rFonts w:hint="eastAsia" w:ascii="宋体" w:hAnsi="宋体" w:cs="宋体"/>
          <w:color w:val="000000"/>
          <w:spacing w:val="6"/>
          <w:sz w:val="24"/>
          <w:highlight w:val="none"/>
          <w:u w:val="single"/>
        </w:rPr>
      </w:pPr>
      <w:r>
        <w:rPr>
          <w:rFonts w:hint="eastAsia" w:ascii="宋体" w:hAnsi="宋体" w:cs="宋体"/>
          <w:color w:val="000000"/>
          <w:spacing w:val="6"/>
          <w:sz w:val="24"/>
          <w:highlight w:val="none"/>
        </w:rPr>
        <w:t xml:space="preserve">日期：</w:t>
      </w:r>
      <w:r>
        <w:rPr>
          <w:rFonts w:hint="eastAsia" w:ascii="宋体" w:hAnsi="宋体" w:cs="宋体"/>
          <w:color w:val="000000"/>
          <w:spacing w:val="6"/>
          <w:sz w:val="24"/>
          <w:highlight w:val="none"/>
          <w:u w:val="single"/>
        </w:rPr>
        <w:t xml:space="preserve">                      </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p>
    <w:sectPr>
      <w:headerReference w:type="default" r:id="rId10"/>
      <w:footerReference w:type="default" r:id="rId12"/>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Courier New">
    <w:panose1 w:val="02070309020205020404"/>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fldChar w:fldCharType="begin"/>
    </w:r>
    <w:r>
      <w:instrText xml:space="preserve">PAGE   \* MERGEFORMAT</w:instrText>
    </w:r>
    <w:r>
      <w:fldChar w:fldCharType="separate"/>
    </w:r>
    <w:r>
      <w:rPr>
        <w:lang w:val="zh-CN"/>
      </w:rPr>
      <w:t xml:space="preserve">2</w:t>
    </w:r>
    <w: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fldChar w:fldCharType="begin"/>
    </w:r>
    <w:r>
      <w:instrText xml:space="preserve">PAGE \* MERGEFORMAT</w:instrText>
    </w:r>
    <w:r>
      <w:fldChar w:fldCharType="separate"/>
    </w:r>
    <w: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left"/>
      <w:rPr>
        <w:rFonts w:hint="eastAsia" w:eastAsia="宋体"/>
        <w:lang w:eastAsia="zh-CN"/>
      </w:rPr>
    </w:pPr>
    <w:r>
      <w:rPr>
        <w:rFonts w:hint="eastAsia"/>
        <w:u w:val="single"/>
        <w:lang w:eastAsia="zh-CN"/>
      </w:rPr>
      <w:t xml:space="preserve">苏州建设工程招标代理有限公司</w:t>
    </w:r>
    <w:r>
      <w:rPr>
        <w:rFonts w:hint="eastAsia"/>
        <w:u w:val="single"/>
      </w:rPr>
      <w:t xml:space="preserve"> </w:t>
    </w:r>
    <w:r>
      <w:rPr>
        <w:u w:val="single"/>
      </w:rPr>
      <w:t xml:space="preserve">                                     </w:t>
    </w:r>
    <w:r>
      <w:rPr>
        <w:rFonts w:hint="eastAsia"/>
        <w:u w:val="single"/>
      </w:rPr>
      <w:t xml:space="preserve">      </w:t>
    </w:r>
    <w:r>
      <w:rPr>
        <w:rFonts w:hint="eastAsia"/>
        <w:u w:val="single"/>
        <w:lang w:eastAsia="zh-CN"/>
      </w:rPr>
      <w:t xml:space="preserve">JSZC-320509-SJZB-C2026-0001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left"/>
      <w:rPr>
        <w:rFonts w:hint="eastAsia" w:eastAsia="宋体"/>
        <w:lang w:eastAsia="zh-CN"/>
      </w:rPr>
    </w:pPr>
    <w:r>
      <w:rPr>
        <w:rFonts w:hint="eastAsia"/>
        <w:u w:val="single"/>
        <w:lang w:eastAsia="zh-CN"/>
      </w:rPr>
      <w:t xml:space="preserve">苏州建设工程招标代理有限公司</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采购编号： </w:t>
    </w:r>
    <w:r>
      <w:rPr>
        <w:rFonts w:hint="eastAsia"/>
        <w:u w:val="single"/>
        <w:lang w:eastAsia="zh-CN"/>
      </w:rPr>
      <w:t xml:space="preserve">JSZC-320509-SJZB-C2026-0001</w:t>
    </w:r>
    <w:r/>
  </w:p>
  <w:p>
    <w:pPr>
      <w:pStyle w:val="912"/>
      <w:jc w:val="both"/>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432" w:leader="none"/>
        </w:tabs>
      </w:pPr>
      <w:rPr>
        <w:rFonts w:hint="eastAsia" w:ascii="宋体" w:hAnsi="宋体" w:eastAsia="宋体"/>
        <w:b/>
        <w:i w:val="0"/>
        <w:sz w:val="28"/>
        <w:szCs w:val="28"/>
      </w:rPr>
    </w:lvl>
    <w:lvl w:ilvl="1">
      <w:start w:val="1"/>
      <w:numFmt w:val="decimal"/>
      <w:pStyle w:val="896"/>
      <w:isLgl w:val="false"/>
      <w:suff w:val="tab"/>
      <w:lvlText w:val="%1.%2"/>
      <w:lvlJc w:val="left"/>
      <w:pPr>
        <w:ind w:left="576" w:hanging="576"/>
        <w:tabs>
          <w:tab w:val="left" w:pos="576" w:leader="none"/>
        </w:tabs>
      </w:pPr>
      <w:rPr>
        <w:rFonts w:hint="eastAsia" w:ascii="宋体" w:hAnsi="宋体" w:eastAsia="宋体"/>
        <w:b/>
        <w:i w:val="0"/>
        <w:sz w:val="28"/>
        <w:szCs w:val="28"/>
      </w:rPr>
    </w:lvl>
    <w:lvl w:ilvl="2">
      <w:start w:val="1"/>
      <w:numFmt w:val="decimal"/>
      <w:isLgl w:val="false"/>
      <w:suff w:val="tab"/>
      <w:lvlText w:val="%1.%2.%3"/>
      <w:lvlJc w:val="left"/>
      <w:pPr>
        <w:ind w:left="720" w:hanging="720"/>
        <w:tabs>
          <w:tab w:val="left" w:pos="720" w:leader="none"/>
        </w:tabs>
      </w:pPr>
      <w:rPr>
        <w:rFonts w:hint="eastAsia" w:ascii="宋体" w:hAnsi="宋体" w:eastAsia="宋体"/>
        <w:b/>
        <w:i w:val="0"/>
        <w:sz w:val="28"/>
        <w:szCs w:val="28"/>
      </w:rPr>
    </w:lvl>
    <w:lvl w:ilvl="3">
      <w:start w:val="1"/>
      <w:numFmt w:val="decimal"/>
      <w:isLgl w:val="false"/>
      <w:suff w:val="tab"/>
      <w:lvlText w:val="%1.%2.%3.%4"/>
      <w:lvlJc w:val="left"/>
      <w:pPr>
        <w:ind w:left="864" w:hanging="864"/>
        <w:tabs>
          <w:tab w:val="left" w:pos="864" w:leader="none"/>
        </w:tabs>
      </w:pPr>
      <w:rPr>
        <w:rFonts w:hint="eastAsia" w:ascii="宋体" w:hAnsi="宋体" w:eastAsia="宋体"/>
        <w:b/>
        <w:i w:val="0"/>
        <w:sz w:val="28"/>
        <w:szCs w:val="28"/>
      </w:rPr>
    </w:lvl>
    <w:lvl w:ilvl="4">
      <w:start w:val="1"/>
      <w:numFmt w:val="decimal"/>
      <w:isLgl w:val="false"/>
      <w:suff w:val="tab"/>
      <w:lvlText w:val="%1.%2.%3.%4.%5"/>
      <w:lvlJc w:val="left"/>
      <w:pPr>
        <w:ind w:left="1008" w:hanging="1008"/>
        <w:tabs>
          <w:tab w:val="left" w:pos="1008" w:leader="none"/>
        </w:tabs>
      </w:pPr>
      <w:rPr>
        <w:rFonts w:hint="eastAsia" w:ascii="宋体" w:hAnsi="宋体" w:eastAsia="宋体"/>
        <w:b/>
        <w:i w:val="0"/>
        <w:sz w:val="28"/>
        <w:szCs w:val="28"/>
      </w:rPr>
    </w:lvl>
    <w:lvl w:ilvl="5">
      <w:start w:val="1"/>
      <w:numFmt w:val="decimal"/>
      <w:isLgl w:val="false"/>
      <w:suff w:val="tab"/>
      <w:lvlText w:val="%1.%2.%3.%4.%5.%6"/>
      <w:lvlJc w:val="left"/>
      <w:pPr>
        <w:ind w:left="1152" w:hanging="1152"/>
        <w:tabs>
          <w:tab w:val="left" w:pos="1152" w:leader="none"/>
        </w:tabs>
      </w:pPr>
      <w:rPr>
        <w:rFonts w:hint="eastAsia" w:ascii="宋体" w:hAnsi="宋体" w:eastAsia="宋体"/>
      </w:rPr>
    </w:lvl>
    <w:lvl w:ilvl="6">
      <w:start w:val="1"/>
      <w:numFmt w:val="decimal"/>
      <w:isLgl w:val="false"/>
      <w:suff w:val="tab"/>
      <w:lvlText w:val="%1.%2.%3.%4.%5.%6.%7"/>
      <w:lvlJc w:val="left"/>
      <w:pPr>
        <w:ind w:left="1296" w:hanging="1296"/>
        <w:tabs>
          <w:tab w:val="left" w:pos="1296" w:leader="none"/>
        </w:tabs>
      </w:pPr>
      <w:rPr>
        <w:rFonts w:hint="eastAsia" w:ascii="宋体" w:hAnsi="宋体" w:eastAsia="宋体"/>
        <w:sz w:val="28"/>
        <w:szCs w:val="28"/>
      </w:rPr>
    </w:lvl>
    <w:lvl w:ilvl="7">
      <w:start w:val="1"/>
      <w:numFmt w:val="decimal"/>
      <w:isLgl w:val="false"/>
      <w:suff w:val="tab"/>
      <w:lvlText w:val="%1.%2.%3.%4.%5.%6.%7.%8"/>
      <w:lvlJc w:val="left"/>
      <w:pPr>
        <w:ind w:left="1440" w:hanging="1440"/>
        <w:tabs>
          <w:tab w:val="left" w:pos="1440" w:leader="none"/>
        </w:tabs>
      </w:pPr>
      <w:rPr>
        <w:rFonts w:hint="eastAsia" w:ascii="宋体" w:hAnsi="宋体" w:eastAsia="宋体"/>
        <w:b/>
        <w:sz w:val="28"/>
        <w:szCs w:val="28"/>
      </w:rPr>
    </w:lvl>
    <w:lvl w:ilvl="8">
      <w:start w:val="1"/>
      <w:numFmt w:val="decimal"/>
      <w:isLgl w:val="false"/>
      <w:suff w:val="tab"/>
      <w:lvlText w:val="%1.%2.%3.%4.%5.%6.%7.%8.%9"/>
      <w:lvlJc w:val="left"/>
      <w:pPr>
        <w:ind w:left="3744" w:hanging="1584"/>
        <w:tabs>
          <w:tab w:val="left" w:pos="3744" w:leader="none"/>
        </w:tabs>
      </w:pPr>
      <w:rPr>
        <w:rFonts w:hint="eastAsia" w:ascii="宋体" w:hAnsi="宋体" w:eastAsia="宋体"/>
        <w:b/>
        <w:sz w:val="28"/>
        <w:szCs w:val="28"/>
      </w:rPr>
    </w:lvl>
  </w:abstractNum>
  <w:abstractNum w:abstractNumId="1">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33"/>
    <w:uiPriority w:val="0"/>
    <w:qFormat/>
    <w:pPr>
      <w:jc w:val="both"/>
      <w:widowControl w:val="off"/>
    </w:pPr>
    <w:rPr>
      <w:rFonts w:hint="default" w:ascii="Calibri" w:hAnsi="Calibri" w:eastAsia="宋体" w:cs="Calibri"/>
      <w:sz w:val="21"/>
      <w:szCs w:val="24"/>
      <w:lang w:val="en-US" w:eastAsia="zh-CN" w:bidi="ar-SA"/>
    </w:rPr>
  </w:style>
  <w:style w:type="paragraph" w:styleId="709">
    <w:name w:val="Heading 1"/>
    <w:basedOn w:val="708"/>
    <w:next w:val="708"/>
    <w:link w:val="747"/>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8"/>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9"/>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0"/>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1"/>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2"/>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4"/>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5"/>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Indent"/>
    <w:basedOn w:val="708"/>
    <w:next w:val="721"/>
    <w:uiPriority w:val="0"/>
    <w:qFormat/>
    <w:pPr>
      <w:ind w:left="315" w:firstLine="632"/>
      <w:spacing w:line="360" w:lineRule="auto"/>
    </w:pPr>
    <w:rPr>
      <w:b/>
    </w:rPr>
  </w:style>
  <w:style w:type="paragraph" w:styleId="721">
    <w:name w:val="envelope return"/>
    <w:basedOn w:val="708"/>
    <w:uiPriority w:val="0"/>
    <w:qFormat/>
    <w:rPr>
      <w:rFonts w:ascii="Arial" w:hAnsi="Arial" w:eastAsia="楷体_GB2312"/>
      <w:sz w:val="26"/>
    </w:rPr>
  </w:style>
  <w:style w:type="paragraph" w:styleId="722">
    <w:name w:val="toc 7"/>
    <w:basedOn w:val="708"/>
    <w:next w:val="708"/>
    <w:uiPriority w:val="39"/>
    <w:unhideWhenUsed/>
    <w:qFormat/>
    <w:pPr>
      <w:ind w:left="1701" w:right="0" w:firstLine="0"/>
      <w:spacing w:after="57"/>
    </w:pPr>
  </w:style>
  <w:style w:type="paragraph" w:styleId="723">
    <w:name w:val="Normal Indent"/>
    <w:basedOn w:val="708"/>
    <w:uiPriority w:val="0"/>
    <w:qFormat/>
    <w:pPr>
      <w:ind w:firstLine="420"/>
      <w:jc w:val="left"/>
    </w:pPr>
    <w:rPr>
      <w:rFonts w:eastAsia="楷体_GB2312"/>
      <w:sz w:val="24"/>
    </w:rPr>
  </w:style>
  <w:style w:type="paragraph" w:styleId="724">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08"/>
    <w:uiPriority w:val="0"/>
    <w:qFormat/>
    <w:pPr>
      <w:jc w:val="left"/>
    </w:pPr>
  </w:style>
  <w:style w:type="paragraph" w:styleId="726">
    <w:name w:val="Body Text"/>
    <w:basedOn w:val="708"/>
    <w:uiPriority w:val="0"/>
    <w:qFormat/>
    <w:pPr>
      <w:tabs>
        <w:tab w:val="left" w:pos="5250" w:leader="none"/>
      </w:tabs>
    </w:pPr>
    <w:rPr>
      <w:sz w:val="28"/>
    </w:rPr>
  </w:style>
  <w:style w:type="paragraph" w:styleId="727">
    <w:name w:val="toc 5"/>
    <w:basedOn w:val="708"/>
    <w:next w:val="708"/>
    <w:uiPriority w:val="39"/>
    <w:unhideWhenUsed/>
    <w:qFormat/>
    <w:pPr>
      <w:ind w:left="1134" w:right="0" w:firstLine="0"/>
      <w:spacing w:after="57"/>
    </w:pPr>
  </w:style>
  <w:style w:type="paragraph" w:styleId="728">
    <w:name w:val="toc 3"/>
    <w:basedOn w:val="708"/>
    <w:next w:val="708"/>
    <w:uiPriority w:val="39"/>
    <w:unhideWhenUsed/>
    <w:qFormat/>
    <w:pPr>
      <w:ind w:left="567" w:right="0" w:firstLine="0"/>
      <w:spacing w:after="57"/>
    </w:pPr>
  </w:style>
  <w:style w:type="paragraph" w:styleId="729">
    <w:name w:val="Plain Text"/>
    <w:basedOn w:val="708"/>
    <w:uiPriority w:val="0"/>
    <w:qFormat/>
    <w:rPr>
      <w:rFonts w:ascii="宋体" w:hAnsi="Courier New" w:eastAsia="楷体_GB2312"/>
      <w:sz w:val="28"/>
    </w:rPr>
  </w:style>
  <w:style w:type="paragraph" w:styleId="730">
    <w:name w:val="toc 8"/>
    <w:basedOn w:val="708"/>
    <w:next w:val="708"/>
    <w:uiPriority w:val="39"/>
    <w:unhideWhenUsed/>
    <w:qFormat/>
    <w:pPr>
      <w:ind w:left="1984" w:right="0" w:firstLine="0"/>
      <w:spacing w:after="57"/>
    </w:pPr>
  </w:style>
  <w:style w:type="paragraph" w:styleId="731">
    <w:name w:val="endnote text"/>
    <w:basedOn w:val="708"/>
    <w:link w:val="893"/>
    <w:uiPriority w:val="99"/>
    <w:semiHidden/>
    <w:unhideWhenUsed/>
    <w:qFormat/>
    <w:pPr>
      <w:spacing w:after="0" w:line="240" w:lineRule="auto"/>
    </w:pPr>
    <w:rPr>
      <w:sz w:val="20"/>
    </w:rPr>
  </w:style>
  <w:style w:type="paragraph" w:styleId="732">
    <w:name w:val="Footer"/>
    <w:basedOn w:val="708"/>
    <w:link w:val="766"/>
    <w:uiPriority w:val="99"/>
    <w:unhideWhenUsed/>
    <w:qFormat/>
    <w:pPr>
      <w:spacing w:after="0" w:line="240" w:lineRule="auto"/>
      <w:tabs>
        <w:tab w:val="center" w:pos="7143" w:leader="none"/>
        <w:tab w:val="right" w:pos="14287" w:leader="none"/>
      </w:tabs>
    </w:pPr>
  </w:style>
  <w:style w:type="paragraph" w:styleId="733">
    <w:name w:val="Header"/>
    <w:basedOn w:val="708"/>
    <w:link w:val="764"/>
    <w:uiPriority w:val="99"/>
    <w:unhideWhenUsed/>
    <w:qFormat/>
    <w:pPr>
      <w:spacing w:after="0" w:line="240" w:lineRule="auto"/>
      <w:tabs>
        <w:tab w:val="center" w:pos="7143" w:leader="none"/>
        <w:tab w:val="right" w:pos="14287" w:leader="none"/>
      </w:tabs>
    </w:pPr>
  </w:style>
  <w:style w:type="paragraph" w:styleId="734">
    <w:name w:val="toc 1"/>
    <w:basedOn w:val="708"/>
    <w:next w:val="708"/>
    <w:uiPriority w:val="39"/>
    <w:unhideWhenUsed/>
    <w:qFormat/>
    <w:pPr>
      <w:ind w:left="0" w:right="0" w:firstLine="0"/>
      <w:spacing w:after="57"/>
    </w:pPr>
  </w:style>
  <w:style w:type="paragraph" w:styleId="735">
    <w:name w:val="toc 4"/>
    <w:basedOn w:val="708"/>
    <w:next w:val="708"/>
    <w:uiPriority w:val="39"/>
    <w:unhideWhenUsed/>
    <w:qFormat/>
    <w:pPr>
      <w:ind w:left="850" w:right="0" w:firstLine="0"/>
      <w:spacing w:after="57"/>
    </w:pPr>
  </w:style>
  <w:style w:type="paragraph" w:styleId="736">
    <w:name w:val="Subtitle"/>
    <w:basedOn w:val="708"/>
    <w:next w:val="708"/>
    <w:link w:val="759"/>
    <w:uiPriority w:val="11"/>
    <w:qFormat/>
    <w:pPr>
      <w:spacing w:before="200" w:after="200"/>
    </w:pPr>
    <w:rPr>
      <w:sz w:val="24"/>
      <w:szCs w:val="24"/>
    </w:rPr>
  </w:style>
  <w:style w:type="paragraph" w:styleId="737">
    <w:name w:val="footnote text"/>
    <w:basedOn w:val="708"/>
    <w:link w:val="892"/>
    <w:uiPriority w:val="99"/>
    <w:semiHidden/>
    <w:unhideWhenUsed/>
    <w:qFormat/>
    <w:pPr>
      <w:spacing w:after="40" w:line="240" w:lineRule="auto"/>
    </w:pPr>
    <w:rPr>
      <w:sz w:val="18"/>
    </w:rPr>
  </w:style>
  <w:style w:type="paragraph" w:styleId="738">
    <w:name w:val="toc 6"/>
    <w:basedOn w:val="708"/>
    <w:next w:val="708"/>
    <w:uiPriority w:val="39"/>
    <w:unhideWhenUsed/>
    <w:qFormat/>
    <w:pPr>
      <w:ind w:left="1417" w:right="0" w:firstLine="0"/>
      <w:spacing w:after="57"/>
    </w:pPr>
  </w:style>
  <w:style w:type="paragraph" w:styleId="739">
    <w:name w:val="table of figures"/>
    <w:basedOn w:val="708"/>
    <w:next w:val="708"/>
    <w:uiPriority w:val="99"/>
    <w:unhideWhenUsed/>
    <w:qFormat/>
    <w:pPr>
      <w:spacing w:after="0" w:afterAutospacing="0"/>
    </w:pPr>
  </w:style>
  <w:style w:type="paragraph" w:styleId="740">
    <w:name w:val="toc 2"/>
    <w:basedOn w:val="708"/>
    <w:next w:val="708"/>
    <w:uiPriority w:val="39"/>
    <w:unhideWhenUsed/>
    <w:qFormat/>
    <w:pPr>
      <w:ind w:left="283" w:right="0" w:firstLine="0"/>
      <w:spacing w:after="57"/>
    </w:pPr>
  </w:style>
  <w:style w:type="paragraph" w:styleId="741">
    <w:name w:val="toc 9"/>
    <w:basedOn w:val="708"/>
    <w:next w:val="708"/>
    <w:uiPriority w:val="39"/>
    <w:unhideWhenUsed/>
    <w:qFormat/>
    <w:pPr>
      <w:ind w:left="2268" w:right="0" w:firstLine="0"/>
      <w:spacing w:after="57"/>
    </w:pPr>
  </w:style>
  <w:style w:type="paragraph" w:styleId="742">
    <w:name w:val="Title"/>
    <w:basedOn w:val="708"/>
    <w:next w:val="708"/>
    <w:link w:val="758"/>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09"/>
    <w:uiPriority w:val="9"/>
    <w:qFormat/>
    <w:rPr>
      <w:rFonts w:ascii="Arial" w:hAnsi="Arial" w:eastAsia="Arial" w:cs="Arial"/>
      <w:sz w:val="40"/>
      <w:szCs w:val="40"/>
    </w:rPr>
  </w:style>
  <w:style w:type="character" w:styleId="748" w:customStyle="1">
    <w:name w:val="Heading 2 Char"/>
    <w:link w:val="710"/>
    <w:uiPriority w:val="9"/>
    <w:qFormat/>
    <w:rPr>
      <w:rFonts w:ascii="Arial" w:hAnsi="Arial" w:eastAsia="Arial" w:cs="Arial"/>
      <w:sz w:val="34"/>
    </w:rPr>
  </w:style>
  <w:style w:type="character" w:styleId="749" w:customStyle="1">
    <w:name w:val="Heading 3 Char"/>
    <w:link w:val="711"/>
    <w:uiPriority w:val="9"/>
    <w:qFormat/>
    <w:rPr>
      <w:rFonts w:ascii="Arial" w:hAnsi="Arial" w:eastAsia="Arial" w:cs="Arial"/>
      <w:sz w:val="30"/>
      <w:szCs w:val="30"/>
    </w:rPr>
  </w:style>
  <w:style w:type="character" w:styleId="750" w:customStyle="1">
    <w:name w:val="Heading 4 Char"/>
    <w:link w:val="712"/>
    <w:uiPriority w:val="9"/>
    <w:qFormat/>
    <w:rPr>
      <w:rFonts w:ascii="Arial" w:hAnsi="Arial" w:eastAsia="Arial" w:cs="Arial"/>
      <w:b/>
      <w:bCs/>
      <w:sz w:val="26"/>
      <w:szCs w:val="26"/>
    </w:rPr>
  </w:style>
  <w:style w:type="character" w:styleId="751" w:customStyle="1">
    <w:name w:val="Heading 5 Char"/>
    <w:link w:val="713"/>
    <w:uiPriority w:val="9"/>
    <w:qFormat/>
    <w:rPr>
      <w:rFonts w:ascii="Arial" w:hAnsi="Arial" w:eastAsia="Arial" w:cs="Arial"/>
      <w:b/>
      <w:bCs/>
      <w:sz w:val="24"/>
      <w:szCs w:val="24"/>
    </w:rPr>
  </w:style>
  <w:style w:type="character" w:styleId="752" w:customStyle="1">
    <w:name w:val="Heading 6 Char"/>
    <w:link w:val="714"/>
    <w:uiPriority w:val="9"/>
    <w:qFormat/>
    <w:rPr>
      <w:rFonts w:ascii="Arial" w:hAnsi="Arial" w:eastAsia="Arial" w:cs="Arial"/>
      <w:b/>
      <w:bCs/>
      <w:sz w:val="22"/>
      <w:szCs w:val="22"/>
    </w:rPr>
  </w:style>
  <w:style w:type="character" w:styleId="753" w:customStyle="1">
    <w:name w:val="Heading 7 Char"/>
    <w:link w:val="715"/>
    <w:uiPriority w:val="9"/>
    <w:qFormat/>
    <w:rPr>
      <w:rFonts w:ascii="Arial" w:hAnsi="Arial" w:eastAsia="Arial" w:cs="Arial"/>
      <w:b/>
      <w:bCs/>
      <w:i/>
      <w:iCs/>
      <w:sz w:val="22"/>
      <w:szCs w:val="22"/>
    </w:rPr>
  </w:style>
  <w:style w:type="character" w:styleId="754" w:customStyle="1">
    <w:name w:val="Heading 8 Char"/>
    <w:link w:val="716"/>
    <w:uiPriority w:val="9"/>
    <w:qFormat/>
    <w:rPr>
      <w:rFonts w:ascii="Arial" w:hAnsi="Arial" w:eastAsia="Arial" w:cs="Arial"/>
      <w:i/>
      <w:iCs/>
      <w:sz w:val="22"/>
      <w:szCs w:val="22"/>
    </w:rPr>
  </w:style>
  <w:style w:type="character" w:styleId="755" w:customStyle="1">
    <w:name w:val="Heading 9 Char"/>
    <w:link w:val="717"/>
    <w:uiPriority w:val="9"/>
    <w:qFormat/>
    <w:rPr>
      <w:rFonts w:ascii="Arial" w:hAnsi="Arial" w:eastAsia="Arial" w:cs="Arial"/>
      <w:i/>
      <w:iCs/>
      <w:sz w:val="21"/>
      <w:szCs w:val="21"/>
    </w:rPr>
  </w:style>
  <w:style w:type="paragraph" w:styleId="756">
    <w:name w:val="List Paragraph"/>
    <w:basedOn w:val="708"/>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2"/>
    <w:uiPriority w:val="10"/>
    <w:qFormat/>
    <w:rPr>
      <w:sz w:val="48"/>
      <w:szCs w:val="48"/>
    </w:rPr>
  </w:style>
  <w:style w:type="character" w:styleId="759" w:customStyle="1">
    <w:name w:val="Subtitle Char"/>
    <w:link w:val="736"/>
    <w:uiPriority w:val="11"/>
    <w:qFormat/>
    <w:rPr>
      <w:sz w:val="24"/>
      <w:szCs w:val="24"/>
    </w:rPr>
  </w:style>
  <w:style w:type="paragraph" w:styleId="760">
    <w:name w:val="Quote"/>
    <w:basedOn w:val="708"/>
    <w:next w:val="708"/>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8"/>
    <w:next w:val="708"/>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3"/>
    <w:uiPriority w:val="99"/>
    <w:qFormat/>
  </w:style>
  <w:style w:type="character" w:styleId="765" w:customStyle="1">
    <w:name w:val="Footer Char"/>
    <w:link w:val="732"/>
    <w:uiPriority w:val="99"/>
    <w:qFormat/>
  </w:style>
  <w:style w:type="character" w:styleId="766" w:customStyle="1">
    <w:name w:val="Caption Char"/>
    <w:link w:val="732"/>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7"/>
    <w:uiPriority w:val="99"/>
    <w:qFormat/>
    <w:rPr>
      <w:sz w:val="18"/>
    </w:rPr>
  </w:style>
  <w:style w:type="character" w:styleId="893" w:customStyle="1">
    <w:name w:val="Endnote Text Char"/>
    <w:link w:val="731"/>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8"/>
    <w:next w:val="708"/>
    <w:uiPriority w:val="0"/>
    <w:qFormat/>
    <w:pPr>
      <w:ind w:left="405" w:hanging="405"/>
      <w:jc w:val="left"/>
      <w:keepNext/>
      <w:spacing w:line="300" w:lineRule="auto"/>
      <w:tabs>
        <w:tab w:val="left" w:pos="405" w:leader="none"/>
      </w:tabs>
      <w:outlineLvl w:val="0"/>
    </w:pPr>
    <w:rPr>
      <w:sz w:val="28"/>
    </w:rPr>
  </w:style>
  <w:style w:type="paragraph" w:styleId="896" w:customStyle="1">
    <w:name w:val="标题 211"/>
    <w:basedOn w:val="708"/>
    <w:next w:val="708"/>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7" w:customStyle="1">
    <w:name w:val="标题 31"/>
    <w:basedOn w:val="708"/>
    <w:next w:val="708"/>
    <w:uiPriority w:val="0"/>
    <w:qFormat/>
    <w:pPr>
      <w:keepLines/>
      <w:keepNext/>
      <w:spacing w:before="260" w:after="260" w:line="413" w:lineRule="auto"/>
      <w:outlineLvl w:val="2"/>
    </w:pPr>
    <w:rPr>
      <w:b/>
      <w:sz w:val="32"/>
    </w:rPr>
  </w:style>
  <w:style w:type="character" w:styleId="898" w:customStyle="1">
    <w:name w:val="默认段落字体1"/>
    <w:link w:val="708"/>
    <w:uiPriority w:val="0"/>
    <w:semiHidden/>
    <w:qFormat/>
  </w:style>
  <w:style w:type="table" w:styleId="899" w:customStyle="1">
    <w:name w:val="普通表格1"/>
    <w:uiPriority w:val="0"/>
    <w:semiHidden/>
    <w:qFormat/>
    <w:tblPr/>
  </w:style>
  <w:style w:type="paragraph" w:styleId="900" w:customStyle="1">
    <w:name w:val="PlainText1"/>
    <w:basedOn w:val="708"/>
    <w:uiPriority w:val="99"/>
    <w:qFormat/>
    <w:rPr>
      <w:rFonts w:ascii="宋体" w:hAnsi="Courier New" w:eastAsia="楷体_GB2312"/>
      <w:sz w:val="28"/>
      <w:szCs w:val="20"/>
    </w:rPr>
  </w:style>
  <w:style w:type="paragraph" w:styleId="901" w:customStyle="1">
    <w:name w:val="目录 71"/>
    <w:basedOn w:val="708"/>
    <w:next w:val="708"/>
    <w:uiPriority w:val="39"/>
    <w:unhideWhenUsed/>
    <w:qFormat/>
    <w:pPr>
      <w:ind w:left="1260"/>
      <w:jc w:val="left"/>
    </w:pPr>
    <w:rPr>
      <w:sz w:val="18"/>
      <w:szCs w:val="18"/>
    </w:rPr>
  </w:style>
  <w:style w:type="paragraph" w:styleId="902" w:customStyle="1">
    <w:name w:val="正文缩进11"/>
    <w:basedOn w:val="708"/>
    <w:next w:val="708"/>
    <w:uiPriority w:val="0"/>
    <w:qFormat/>
    <w:pPr>
      <w:ind w:firstLine="420"/>
    </w:pPr>
    <w:rPr>
      <w:szCs w:val="20"/>
    </w:rPr>
  </w:style>
  <w:style w:type="paragraph" w:styleId="903" w:customStyle="1">
    <w:name w:val="批注文字1"/>
    <w:basedOn w:val="708"/>
    <w:link w:val="904"/>
    <w:uiPriority w:val="0"/>
    <w:qFormat/>
    <w:pPr>
      <w:jc w:val="left"/>
    </w:pPr>
  </w:style>
  <w:style w:type="character" w:styleId="904" w:customStyle="1">
    <w:name w:val="批注文字 字符"/>
    <w:link w:val="903"/>
    <w:uiPriority w:val="0"/>
    <w:qFormat/>
    <w:rPr>
      <w:rFonts w:ascii="Calibri" w:hAnsi="Calibri" w:cs="Calibri"/>
      <w:sz w:val="21"/>
      <w:szCs w:val="24"/>
    </w:rPr>
  </w:style>
  <w:style w:type="paragraph" w:styleId="905" w:customStyle="1">
    <w:name w:val="正文文本1"/>
    <w:basedOn w:val="708"/>
    <w:uiPriority w:val="0"/>
    <w:qFormat/>
    <w:pPr>
      <w:tabs>
        <w:tab w:val="left" w:pos="5250" w:leader="none"/>
      </w:tabs>
    </w:pPr>
    <w:rPr>
      <w:sz w:val="28"/>
    </w:rPr>
  </w:style>
  <w:style w:type="paragraph" w:styleId="906" w:customStyle="1">
    <w:name w:val="正文文本缩进1"/>
    <w:basedOn w:val="708"/>
    <w:next w:val="907"/>
    <w:uiPriority w:val="0"/>
    <w:qFormat/>
    <w:pPr>
      <w:ind w:left="420"/>
      <w:spacing w:after="120"/>
    </w:pPr>
  </w:style>
  <w:style w:type="paragraph" w:styleId="907" w:customStyle="1">
    <w:name w:val="寄信人地址1"/>
    <w:basedOn w:val="708"/>
    <w:next w:val="901"/>
    <w:uiPriority w:val="0"/>
    <w:qFormat/>
    <w:rPr>
      <w:rFonts w:ascii="Arial" w:hAnsi="Arial" w:eastAsia="楷体_GB2312"/>
      <w:sz w:val="26"/>
      <w:szCs w:val="20"/>
    </w:rPr>
  </w:style>
  <w:style w:type="paragraph" w:styleId="908" w:customStyle="1">
    <w:name w:val="文本块1"/>
    <w:basedOn w:val="895"/>
    <w:next w:val="708"/>
    <w:uiPriority w:val="0"/>
    <w:qFormat/>
    <w:pPr>
      <w:ind w:left="420" w:right="-294"/>
      <w:spacing w:line="320" w:lineRule="exact"/>
    </w:pPr>
    <w:rPr>
      <w:rFonts w:ascii="宋体"/>
      <w:sz w:val="24"/>
    </w:rPr>
  </w:style>
  <w:style w:type="paragraph" w:styleId="909" w:customStyle="1">
    <w:name w:val="纯文本111"/>
    <w:basedOn w:val="708"/>
    <w:uiPriority w:val="0"/>
    <w:qFormat/>
    <w:rPr>
      <w:rFonts w:ascii="宋体" w:hAnsi="Courier New" w:eastAsia="楷体_GB2312"/>
      <w:sz w:val="28"/>
    </w:rPr>
  </w:style>
  <w:style w:type="paragraph" w:styleId="910" w:customStyle="1">
    <w:name w:val="批注框文本1"/>
    <w:basedOn w:val="708"/>
    <w:uiPriority w:val="0"/>
    <w:qFormat/>
    <w:rPr>
      <w:sz w:val="18"/>
      <w:szCs w:val="18"/>
    </w:rPr>
  </w:style>
  <w:style w:type="paragraph" w:styleId="911" w:customStyle="1">
    <w:name w:val="页脚1"/>
    <w:basedOn w:val="708"/>
    <w:uiPriority w:val="99"/>
    <w:qFormat/>
    <w:pPr>
      <w:jc w:val="left"/>
      <w:tabs>
        <w:tab w:val="center" w:pos="4153" w:leader="none"/>
        <w:tab w:val="right" w:pos="8306" w:leader="none"/>
      </w:tabs>
    </w:pPr>
    <w:rPr>
      <w:sz w:val="18"/>
      <w:szCs w:val="18"/>
    </w:rPr>
  </w:style>
  <w:style w:type="paragraph" w:styleId="912" w:customStyle="1">
    <w:name w:val="页眉1"/>
    <w:basedOn w:val="708"/>
    <w:uiPriority w:val="99"/>
    <w:qFormat/>
    <w:pPr>
      <w:jc w:val="center"/>
      <w:tabs>
        <w:tab w:val="center" w:pos="4153" w:leader="none"/>
        <w:tab w:val="right" w:pos="8306" w:leader="none"/>
      </w:tabs>
      <w:pBdr>
        <w:bottom w:val="none" w:color="000000" w:sz="0" w:space="1"/>
      </w:pBdr>
    </w:pPr>
    <w:rPr>
      <w:sz w:val="18"/>
      <w:szCs w:val="18"/>
    </w:rPr>
  </w:style>
  <w:style w:type="paragraph" w:styleId="913" w:customStyle="1">
    <w:name w:val="副标题1"/>
    <w:basedOn w:val="708"/>
    <w:next w:val="708"/>
    <w:uiPriority w:val="0"/>
    <w:qFormat/>
    <w:pPr>
      <w:jc w:val="center"/>
      <w:spacing w:before="240" w:after="60" w:line="312" w:lineRule="auto"/>
      <w:outlineLvl w:val="1"/>
    </w:pPr>
    <w:rPr>
      <w:rFonts w:ascii="宋体" w:hAnsi="Courier New" w:eastAsia="楷体_GB2312"/>
      <w:sz w:val="26"/>
    </w:rPr>
  </w:style>
  <w:style w:type="paragraph" w:styleId="914" w:customStyle="1">
    <w:name w:val="脚注文本1"/>
    <w:basedOn w:val="895"/>
    <w:next w:val="908"/>
    <w:uiPriority w:val="0"/>
    <w:qFormat/>
    <w:pPr>
      <w:ind w:firstLine="3584"/>
      <w:spacing w:line="360" w:lineRule="auto"/>
    </w:pPr>
  </w:style>
  <w:style w:type="paragraph" w:styleId="915" w:customStyle="1">
    <w:name w:val="普通(网站)1"/>
    <w:basedOn w:val="708"/>
    <w:uiPriority w:val="99"/>
    <w:qFormat/>
    <w:pPr>
      <w:jc w:val="left"/>
      <w:spacing w:beforeAutospacing="1" w:afterAutospacing="1"/>
    </w:pPr>
    <w:rPr>
      <w:rFonts w:cs="Times New Roman"/>
      <w:sz w:val="24"/>
    </w:rPr>
  </w:style>
  <w:style w:type="paragraph" w:styleId="916" w:customStyle="1">
    <w:name w:val="批注主题1"/>
    <w:basedOn w:val="903"/>
    <w:next w:val="903"/>
    <w:link w:val="917"/>
    <w:uiPriority w:val="0"/>
    <w:qFormat/>
    <w:rPr>
      <w:b/>
      <w:bCs/>
    </w:rPr>
  </w:style>
  <w:style w:type="character" w:styleId="917" w:customStyle="1">
    <w:name w:val="批注主题 字符"/>
    <w:link w:val="916"/>
    <w:uiPriority w:val="0"/>
    <w:qFormat/>
    <w:rPr>
      <w:rFonts w:ascii="Calibri" w:hAnsi="Calibri" w:cs="Calibri"/>
      <w:b/>
      <w:bCs/>
      <w:sz w:val="21"/>
      <w:szCs w:val="24"/>
    </w:rPr>
  </w:style>
  <w:style w:type="table" w:styleId="918" w:customStyle="1">
    <w:name w:val="网格型1"/>
    <w:basedOn w:val="899"/>
    <w:uiPriority w:val="0"/>
    <w:qFormat/>
    <w:tblPr/>
  </w:style>
  <w:style w:type="character" w:styleId="919" w:customStyle="1">
    <w:name w:val="页码1"/>
    <w:link w:val="708"/>
    <w:uiPriority w:val="0"/>
    <w:qFormat/>
  </w:style>
  <w:style w:type="character" w:styleId="920" w:customStyle="1">
    <w:name w:val="批注引用1"/>
    <w:link w:val="708"/>
    <w:uiPriority w:val="0"/>
    <w:qFormat/>
    <w:rPr>
      <w:sz w:val="21"/>
      <w:szCs w:val="21"/>
    </w:rPr>
  </w:style>
  <w:style w:type="paragraph" w:styleId="921" w:customStyle="1">
    <w:name w:val="目录 51"/>
    <w:next w:val="708"/>
    <w:uiPriority w:val="0"/>
    <w:qFormat/>
    <w:pPr>
      <w:ind w:left="1275"/>
      <w:jc w:val="both"/>
    </w:pPr>
    <w:rPr>
      <w:rFonts w:hint="default" w:ascii="Calibri" w:hAnsi="Calibri" w:eastAsia="宋体" w:cs="Times New Roman"/>
      <w:sz w:val="21"/>
      <w:lang w:val="en-US" w:eastAsia="zh-CN" w:bidi="ar-SA"/>
    </w:rPr>
  </w:style>
  <w:style w:type="paragraph" w:styleId="922" w:customStyle="1">
    <w:name w:val="列表段落"/>
    <w:basedOn w:val="708"/>
    <w:uiPriority w:val="34"/>
    <w:qFormat/>
    <w:pPr>
      <w:ind w:firstLine="420"/>
    </w:pPr>
  </w:style>
  <w:style w:type="paragraph" w:styleId="923" w:customStyle="1">
    <w:name w:val="正文缩进1"/>
    <w:basedOn w:val="708"/>
    <w:next w:val="708"/>
    <w:uiPriority w:val="0"/>
    <w:qFormat/>
    <w:pPr>
      <w:ind w:firstLine="420"/>
      <w:jc w:val="left"/>
    </w:pPr>
    <w:rPr>
      <w:rFonts w:eastAsia="楷体_GB2312"/>
      <w:sz w:val="24"/>
      <w:szCs w:val="20"/>
    </w:rPr>
  </w:style>
  <w:style w:type="paragraph" w:styleId="924" w:customStyle="1">
    <w:name w:val="首行缩进"/>
    <w:basedOn w:val="708"/>
    <w:uiPriority w:val="0"/>
    <w:qFormat/>
    <w:pPr>
      <w:ind w:firstLine="480"/>
      <w:jc w:val="left"/>
      <w:spacing w:line="360" w:lineRule="auto"/>
    </w:pPr>
    <w:rPr>
      <w:rFonts w:ascii="宋体" w:hAnsi="宋体"/>
      <w:sz w:val="24"/>
    </w:rPr>
  </w:style>
  <w:style w:type="character" w:styleId="925" w:customStyle="1">
    <w:name w:val="NormalCharacter1"/>
    <w:link w:val="708"/>
    <w:uiPriority w:val="0"/>
    <w:qFormat/>
  </w:style>
  <w:style w:type="paragraph" w:styleId="926" w:customStyle="1">
    <w:name w:val="+标题1"/>
    <w:basedOn w:val="895"/>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27" w:customStyle="1">
    <w:name w:val="纯文本13"/>
    <w:basedOn w:val="708"/>
    <w:uiPriority w:val="0"/>
    <w:qFormat/>
    <w:pPr>
      <w:jc w:val="left"/>
      <w:widowControl/>
    </w:pPr>
    <w:rPr>
      <w:rFonts w:ascii="宋体" w:hAnsi="Courier New" w:eastAsia="楷体_GB2312"/>
      <w:sz w:val="26"/>
      <w:lang w:eastAsia="en-US"/>
    </w:rPr>
  </w:style>
  <w:style w:type="paragraph" w:styleId="928" w:customStyle="1">
    <w:name w:val="段"/>
    <w:next w:val="708"/>
    <w:uiPriority w:val="0"/>
    <w:qFormat/>
    <w:pPr>
      <w:ind w:firstLine="200"/>
      <w:jc w:val="both"/>
    </w:pPr>
    <w:rPr>
      <w:rFonts w:hint="default" w:ascii="宋体" w:hAnsi="Calibri" w:eastAsia="宋体" w:cs="Times New Roman"/>
      <w:sz w:val="21"/>
      <w:lang w:val="en-US" w:eastAsia="zh-CN" w:bidi="ar-SA"/>
    </w:rPr>
  </w:style>
  <w:style w:type="paragraph" w:styleId="929" w:customStyle="1">
    <w:name w:val="纯文本1"/>
    <w:basedOn w:val="708"/>
    <w:uiPriority w:val="0"/>
    <w:qFormat/>
    <w:rPr>
      <w:rFonts w:ascii="宋体" w:hAnsi="Courier New" w:eastAsia="楷体_GB2312"/>
      <w:sz w:val="26"/>
    </w:rPr>
  </w:style>
  <w:style w:type="character" w:styleId="930" w:customStyle="1">
    <w:name w:val="font11"/>
    <w:basedOn w:val="898"/>
    <w:link w:val="708"/>
    <w:uiPriority w:val="0"/>
    <w:qFormat/>
    <w:rPr>
      <w:rFonts w:hint="eastAsia" w:ascii="宋体" w:hAnsi="宋体" w:eastAsia="宋体" w:cs="宋体"/>
      <w:color w:val="000000"/>
      <w:sz w:val="22"/>
      <w:szCs w:val="22"/>
      <w:u w:val="none"/>
    </w:rPr>
  </w:style>
  <w:style w:type="character" w:styleId="931" w:customStyle="1">
    <w:name w:val="font61"/>
    <w:basedOn w:val="898"/>
    <w:link w:val="708"/>
    <w:uiPriority w:val="0"/>
    <w:qFormat/>
    <w:rPr>
      <w:rFonts w:ascii="Arial" w:hAnsi="Arial" w:cs="Arial"/>
      <w:color w:val="000000"/>
      <w:sz w:val="22"/>
      <w:szCs w:val="22"/>
      <w:u w:val="none"/>
    </w:rPr>
  </w:style>
  <w:style w:type="character" w:styleId="932" w:customStyle="1">
    <w:name w:val="font71"/>
    <w:basedOn w:val="898"/>
    <w:link w:val="708"/>
    <w:uiPriority w:val="0"/>
    <w:qFormat/>
    <w:rPr>
      <w:rFonts w:hint="eastAsia" w:ascii="宋体" w:hAnsi="宋体" w:eastAsia="宋体" w:cs="宋体"/>
      <w:color w:val="ff0000"/>
      <w:sz w:val="22"/>
      <w:szCs w:val="22"/>
      <w:u w:val="none"/>
    </w:rPr>
  </w:style>
  <w:style w:type="character" w:styleId="933" w:customStyle="1">
    <w:name w:val="font81"/>
    <w:basedOn w:val="898"/>
    <w:link w:val="708"/>
    <w:uiPriority w:val="0"/>
    <w:qFormat/>
    <w:rPr>
      <w:rFonts w:ascii="Calibri" w:hAnsi="Calibri" w:cs="Calibri"/>
      <w:color w:val="000000"/>
      <w:sz w:val="22"/>
      <w:szCs w:val="22"/>
      <w:u w:val="none"/>
    </w:rPr>
  </w:style>
  <w:style w:type="paragraph" w:styleId="934" w:customStyle="1">
    <w:name w:val="p0"/>
    <w:basedOn w:val="708"/>
    <w:uiPriority w:val="0"/>
    <w:qFormat/>
    <w:rPr>
      <w:rFonts w:ascii="Times New Roman" w:hAnsi="Times New Roman"/>
      <w:szCs w:val="24"/>
    </w:rPr>
  </w:style>
  <w:style w:type="paragraph" w:styleId="935" w:customStyle="1">
    <w:name w:val="纯文本3"/>
    <w:basedOn w:val="708"/>
    <w:uiPriority w:val="0"/>
    <w:qFormat/>
    <w:rPr>
      <w:rFonts w:ascii="宋体" w:hAnsi="Courier New" w:eastAsia="KaiTi_GB2312"/>
      <w:sz w:val="28"/>
      <w:szCs w:val="20"/>
    </w:rPr>
  </w:style>
  <w:style w:type="paragraph" w:styleId="936" w:customStyle="1">
    <w:name w:val="纯文本11"/>
    <w:basedOn w:val="708"/>
    <w:uiPriority w:val="0"/>
    <w:qFormat/>
    <w:rPr>
      <w:rFonts w:ascii="宋体" w:hAnsi="Courier New" w:eastAsia="楷体_GB2312"/>
      <w:sz w:val="28"/>
      <w:szCs w:val="20"/>
    </w:rPr>
  </w:style>
  <w:style w:type="paragraph" w:styleId="937" w:customStyle="1">
    <w:name w:val="正文文本缩进 311"/>
    <w:basedOn w:val="708"/>
    <w:uiPriority w:val="99"/>
    <w:qFormat/>
    <w:pPr>
      <w:ind w:firstLine="480"/>
      <w:spacing w:line="360" w:lineRule="auto"/>
      <w:widowControl/>
    </w:pPr>
    <w:rPr>
      <w:sz w:val="24"/>
    </w:rPr>
  </w:style>
  <w:style w:type="paragraph" w:styleId="938" w:customStyle="1">
    <w:name w:val="标题 21"/>
    <w:basedOn w:val="708"/>
    <w:next w:val="708"/>
    <w:uiPriority w:val="0"/>
    <w:qFormat/>
    <w:pPr>
      <w:keepLines/>
      <w:keepNext/>
      <w:spacing w:before="260" w:after="260" w:line="413" w:lineRule="auto"/>
      <w:outlineLvl w:val="1"/>
    </w:pPr>
    <w:rPr>
      <w:rFonts w:ascii="Arial" w:hAnsi="Arial" w:eastAsia="黑体"/>
      <w:b/>
      <w:bCs/>
      <w:sz w:val="32"/>
      <w:szCs w:val="32"/>
    </w:rPr>
  </w:style>
  <w:style w:type="paragraph" w:styleId="939" w:customStyle="1">
    <w:name w:val="纯文本7"/>
    <w:basedOn w:val="708"/>
    <w:uiPriority w:val="0"/>
    <w:qFormat/>
    <w:rPr>
      <w:rFonts w:ascii="宋体" w:hAnsi="Courier New" w:eastAsia="楷体_GB2312"/>
      <w:sz w:val="26"/>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王剑峰</cp:lastModifiedBy>
  <cp:revision>7</cp:revision>
  <dcterms:created xsi:type="dcterms:W3CDTF">2025-05-18T16:19:00Z</dcterms:created>
  <dcterms:modified xsi:type="dcterms:W3CDTF">2026-01-06T05:49:34Z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eyJoZGlkIjoiOWQwOTNlZDQ0ODU5MjQ0OWNjZWI3NGI3N2U4NmYwNjAiLCJ1c2VySWQiOiI0MTQ5MjA5MjkifQ==</vt:lpwstr>
  </property>
  <property fmtid="{D5CDD505-2E9C-101B-9397-08002B2CF9AE}" pid="3" name="KSOProductBuildVer">
    <vt:lpwstr>2052-12.1.0.24034</vt:lpwstr>
  </property>
  <property fmtid="{D5CDD505-2E9C-101B-9397-08002B2CF9AE}" pid="4" name="ICV">
    <vt:lpwstr>F63303A7F15244D1A9F3FE94E28D4AEE_13</vt:lpwstr>
  </property>
</Properties>
</file>